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A2744"/>
          <w:sz w:val="16"/>
        </w:rPr>
        <w:t>EGC — Institutional Journal</w:t>
      </w:r>
    </w:p>
    <w:p>
      <w:r>
        <w:rPr>
          <w:b/>
          <w:color w:val="1A2744"/>
          <w:sz w:val="36"/>
        </w:rPr>
        <w:t>Daily Factor Memo</w:t>
      </w:r>
    </w:p>
    <w:p>
      <w:r>
        <w:rPr>
          <w:color w:val="666666"/>
          <w:sz w:val="18"/>
        </w:rPr>
        <w:t>2026-03-31</w:t>
      </w:r>
    </w:p>
    <w:p>
      <w:pPr>
        <w:pBdr>
          <w:bottom w:val="single" w:sz="16" w:space="4" w:color="1A2744"/>
        </w:pBdr>
      </w:pPr>
      <w:r>
        <w:rPr>
          <w:b/>
          <w:color w:val="A02020"/>
          <w:sz w:val="18"/>
        </w:rPr>
        <w:t>CONFIDENTIAL</w:t>
      </w:r>
    </w:p>
    <w:p/>
    <w:p>
      <w:pPr>
        <w:pStyle w:val="Heading1"/>
      </w:pPr>
      <w:r>
        <w:rPr>
          <w:sz w:val="22"/>
        </w:rPr>
        <w:t>EGC CORE — FACTOR RISK BRIEFING</w:t>
      </w:r>
    </w:p>
    <w:p>
      <w:r>
        <w:rPr>
          <w:b/>
          <w:color w:val="1A2744"/>
          <w:sz w:val="22"/>
        </w:rPr>
        <w:t>2026-03-31</w:t>
      </w:r>
    </w:p>
    <w:p>
      <w:r>
        <w:rPr>
          <w:sz w:val="22"/>
        </w:rPr>
        <w:t>| Prepared for Morning Review</w:t>
      </w:r>
    </w:p>
    <w:p>
      <w:pPr>
        <w:pBdr>
          <w:bottom w:val="single" w:sz="4" w:space="1" w:color="CCCCCC"/>
        </w:pBdr>
      </w:pPr>
    </w:p>
    <w:p>
      <w:pPr>
        <w:pStyle w:val="Heading2"/>
      </w:pPr>
      <w:r>
        <w:rPr>
          <w:sz w:val="22"/>
        </w:rPr>
        <w:t>FACTOR TILT SUMMARY</w:t>
      </w:r>
    </w:p>
    <w:p>
      <w:r>
        <w:rPr>
          <w:sz w:val="22"/>
        </w:rPr>
        <w:t>The book carries strong long tilts in LT Reversal (+0.787), Momentum (+0.651), and Liquidity (+0.475), reflecting a positioning style that favors large, liquid names with sustained prior-period outperformance. On the short side, the book is meaningfully negative on Growth (-0.240), Profitability (-0.227), Size (-0.224), Dividend Yield (-0.236), and Stock Crowding (-0.162), implying the shorts are concentrated in high-growth, lower-profitability names — consistent with fading crowded secular-growth trades (VST, NVDA, CRWV, META) against a long book skewed toward value-adjacent energy and cyclicals.</w:t>
      </w:r>
    </w:p>
    <w:p>
      <w:pPr>
        <w:pBdr>
          <w:bottom w:val="single" w:sz="4" w:space="1" w:color="CCCCCC"/>
        </w:pBdr>
      </w:pPr>
    </w:p>
    <w:p>
      <w:pPr>
        <w:pStyle w:val="Heading2"/>
      </w:pPr>
      <w:r>
        <w:rPr>
          <w:sz w:val="22"/>
        </w:rPr>
        <w:t>NOTABLE MOVES</w:t>
      </w:r>
    </w:p>
    <w:p>
      <w:pPr>
        <w:pStyle w:val="ListBullet"/>
      </w:pPr>
      <w:r>
        <w:rPr>
          <w:b/>
          <w:color w:val="1A2744"/>
          <w:sz w:val="22"/>
        </w:rPr>
        <w:t>LT Reversal +0.154 (Δ1D):</w:t>
      </w:r>
      <w:r>
        <w:rPr>
          <w:sz w:val="22"/>
        </w:rPr>
        <w:t xml:space="preserve"> Largest single-session increase to an already dominant tilt (+0.787 net). Driven by VST and META on the short side deepening their negative LT Reversal exposure. Increases concentration risk in this factor.</w:t>
      </w:r>
    </w:p>
    <w:p>
      <w:pPr>
        <w:pStyle w:val="ListBullet"/>
      </w:pPr>
      <w:r>
        <w:rPr>
          <w:b/>
          <w:color w:val="1A2744"/>
          <w:sz w:val="22"/>
        </w:rPr>
        <w:t>Momentum +0.252 (Δ1D):</w:t>
      </w:r>
      <w:r>
        <w:rPr>
          <w:sz w:val="22"/>
        </w:rPr>
        <w:t xml:space="preserve"> Extended an already large long tilt from ~+0.399 to +0.651. MU is the primary driver. The book is now carrying its heaviest Momentum exposure — flag if MU continues to run.</w:t>
      </w:r>
    </w:p>
    <w:p>
      <w:pPr>
        <w:pStyle w:val="ListBullet"/>
      </w:pPr>
      <w:r>
        <w:rPr>
          <w:b/>
          <w:color w:val="1A2744"/>
          <w:sz w:val="22"/>
        </w:rPr>
        <w:t>Liquidity +0.181 (Δ1D):</w:t>
      </w:r>
      <w:r>
        <w:rPr>
          <w:sz w:val="22"/>
        </w:rPr>
        <w:t xml:space="preserve"> Pushed net to +0.475. Reinforces the large-cap liquid character of the long book. Not a risk concern directionally, but adds to factor crowding in the same names (MU, SNDK).</w:t>
      </w:r>
    </w:p>
    <w:p>
      <w:pPr>
        <w:pStyle w:val="ListBullet"/>
      </w:pPr>
      <w:r>
        <w:rPr>
          <w:b/>
          <w:color w:val="1A2744"/>
          <w:sz w:val="22"/>
        </w:rPr>
        <w:t>ML Factor +0.212 (Δ1D):</w:t>
      </w:r>
      <w:r>
        <w:rPr>
          <w:sz w:val="22"/>
        </w:rPr>
        <w:t xml:space="preserve"> Net remains modest (+0.018), so the move was near-offsetting across long/short — monitor for directionality.</w:t>
      </w:r>
    </w:p>
    <w:p>
      <w:pPr>
        <w:pStyle w:val="ListBullet"/>
      </w:pPr>
      <w:r>
        <w:rPr>
          <w:b/>
          <w:color w:val="1A2744"/>
          <w:sz w:val="22"/>
        </w:rPr>
        <w:t>Dividend Yield -0.139 (Δ1D):</w:t>
      </w:r>
      <w:r>
        <w:rPr>
          <w:sz w:val="22"/>
        </w:rPr>
        <w:t xml:space="preserve"> Net moved to -0.236, now a meaningful short tilt. Athabasca, XOM driving; consistent with energy longs being low-yield names while high-yield names are being shorted or underweighted.</w:t>
      </w:r>
    </w:p>
    <w:p>
      <w:pPr>
        <w:pStyle w:val="ListBullet"/>
      </w:pPr>
      <w:r>
        <w:rPr>
          <w:b/>
          <w:color w:val="1A2744"/>
          <w:sz w:val="22"/>
        </w:rPr>
        <w:t>Leverage -0.132 (Δ1D):</w:t>
      </w:r>
      <w:r>
        <w:rPr>
          <w:sz w:val="22"/>
        </w:rPr>
        <w:t xml:space="preserve"> Net at -0.062, flipped further negative. VST and Athabasca are the primary movers in opposite directions — net effect is a modest increase in short-leverage bias.</w:t>
      </w:r>
    </w:p>
    <w:p>
      <w:pPr>
        <w:pStyle w:val="ListBullet"/>
      </w:pPr>
      <w:r>
        <w:rPr>
          <w:b/>
          <w:color w:val="1A2744"/>
          <w:sz w:val="22"/>
        </w:rPr>
        <w:t>Stock Crowding -0.128 (Δ1D):</w:t>
      </w:r>
      <w:r>
        <w:rPr>
          <w:sz w:val="22"/>
        </w:rPr>
        <w:t xml:space="preserve"> Net at -0.162. The book is actively short crowded names and this tilt deepened materially today. Adds short-squeeze risk if crowded names rally.</w:t>
      </w:r>
    </w:p>
    <w:p>
      <w:pPr>
        <w:pBdr>
          <w:bottom w:val="single" w:sz="4" w:space="1" w:color="CCCCCC"/>
        </w:pBdr>
      </w:pPr>
    </w:p>
    <w:p>
      <w:pPr>
        <w:pStyle w:val="Heading2"/>
      </w:pPr>
      <w:r>
        <w:rPr>
          <w:sz w:val="22"/>
        </w:rPr>
        <w:t>CONCENTRATION RISK</w:t>
      </w:r>
    </w:p>
    <w:p>
      <w:r>
        <w:rPr>
          <w:b/>
          <w:color w:val="1A2744"/>
          <w:sz w:val="22"/>
        </w:rPr>
        <w:t>LT Reversal (net +0.787, largest absolute exposure):</w:t>
      </w:r>
      <w:r>
        <w:rPr>
          <w:sz w:val="22"/>
        </w:rPr>
        <w:br/>
        <w:t xml:space="preserve">Top-3 contributors — VST (+0.139), META (+0.102), MU (+0.068) — account for </w:t>
      </w:r>
      <w:r>
        <w:rPr>
          <w:b/>
          <w:color w:val="1A2744"/>
          <w:sz w:val="22"/>
        </w:rPr>
        <w:t>17.0% of gross factor exposure</w:t>
      </w:r>
      <w:r>
        <w:rPr>
          <w:sz w:val="22"/>
        </w:rPr>
        <w:t>. VST alone at -5.53% weight with LT Reversal z-score of -2.52 is the single dominant driver of this tilt. One name is carrying an outsized share of the book's largest factor position.</w:t>
      </w:r>
    </w:p>
    <w:p>
      <w:r>
        <w:rPr>
          <w:b/>
          <w:color w:val="1A2744"/>
          <w:sz w:val="22"/>
        </w:rPr>
        <w:t>Momentum (net +0.651):</w:t>
      </w:r>
      <w:r>
        <w:rPr>
          <w:sz w:val="22"/>
        </w:rPr>
        <w:br/>
        <w:t xml:space="preserve">Top-3 — MU (+0.124), VRT (-0.056), SNDK (+0.053) — represent </w:t>
      </w:r>
      <w:r>
        <w:rPr>
          <w:b/>
          <w:color w:val="1A2744"/>
          <w:sz w:val="22"/>
        </w:rPr>
        <w:t>16.0% of gross exposure</w:t>
      </w:r>
      <w:r>
        <w:rPr>
          <w:sz w:val="22"/>
        </w:rPr>
        <w:t xml:space="preserve">. MU at +5.20% weight with Momentum z-score of +2.38 is the dominant long-side contributor. MU also appears as a top-3 driver in Beta, Liquidity, LT Reversal, Earnings Quality, and Earnings Yield — </w:t>
      </w:r>
      <w:r>
        <w:rPr>
          <w:b/>
          <w:color w:val="1A2744"/>
          <w:sz w:val="22"/>
        </w:rPr>
        <w:t>MU is a multi-factor concentration point and the most systemically important single name in the book.</w:t>
      </w:r>
    </w:p>
    <w:p>
      <w:r>
        <w:rPr>
          <w:b/>
          <w:color w:val="1A2744"/>
          <w:sz w:val="22"/>
        </w:rPr>
        <w:t>Liquidity (net +0.475):</w:t>
      </w:r>
      <w:r>
        <w:rPr>
          <w:sz w:val="22"/>
        </w:rPr>
        <w:br/>
        <w:t xml:space="preserve">Top-3 — MU (+0.095), CRWV (-0.086), SNDK (+0.057) — represent </w:t>
      </w:r>
      <w:r>
        <w:rPr>
          <w:b/>
          <w:color w:val="1A2744"/>
          <w:sz w:val="22"/>
        </w:rPr>
        <w:t>14.5% of gross exposure</w:t>
      </w:r>
      <w:r>
        <w:rPr>
          <w:sz w:val="22"/>
        </w:rPr>
        <w:t>. MU and SNDK together anchor the long-side liquidity tilt; CRWV's short position works against it. Note CRWV appears as a top-3 driver in Growth, Residual Volatility, and Liquidity simultaneously — it is the most concentrated short-side multi-factor name.</w:t>
      </w:r>
    </w:p>
    <w:p>
      <w:pPr>
        <w:pBdr>
          <w:bottom w:val="single" w:sz="4" w:space="1" w:color="CCCCCC"/>
        </w:pBdr>
      </w:pP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