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480" w:after="80"/>
        <w:jc w:val="center"/>
      </w:pPr>
      <w:r>
        <w:rPr>
          <w:rFonts w:ascii="Arial" w:cs="Arial" w:eastAsia="Arial" w:hAnsi="Arial"/>
          <w:b/>
          <w:bCs/>
          <w:color w:val="1F4E79"/>
          <w:sz w:val="52"/>
          <w:szCs w:val="52"/>
        </w:rPr>
        <w:t xml:space="preserve">Portfolio Risk Management Platform</w:t>
      </w:r>
    </w:p>
    <w:p>
      <w:pPr>
        <w:spacing w:before="0" w:after="80"/>
        <w:jc w:val="center"/>
      </w:pPr>
      <w:r>
        <w:rPr>
          <w:rFonts w:ascii="Arial" w:cs="Arial" w:eastAsia="Arial" w:hAnsi="Arial"/>
          <w:color w:val="555555"/>
          <w:sz w:val="26"/>
          <w:szCs w:val="26"/>
        </w:rPr>
        <w:t xml:space="preserve">L/S Equity Fund  ·  Project Outline &amp; Architecture</w:t>
      </w:r>
    </w:p>
    <w:p>
      <w:pPr>
        <w:spacing w:before="0" w:after="480"/>
        <w:jc w:val="center"/>
      </w:pPr>
      <w:r>
        <w:rPr>
          <w:rFonts w:ascii="Arial" w:cs="Arial" w:eastAsia="Arial" w:hAnsi="Arial"/>
          <w:i/>
          <w:iCs/>
          <w:color w:val="888888"/>
          <w:sz w:val="20"/>
          <w:szCs w:val="20"/>
        </w:rPr>
        <w:t xml:space="preserve">Version 0.5  ·  Draft for Review  ·  March 2026</w:t>
      </w:r>
    </w:p>
    <w:p>
      <w:pPr>
        <w:pStyle w:val="Heading1"/>
        <w:pBdr>
          <w:bottom w:val="single" w:color="2E75B6" w:sz="8" w:space="4"/>
        </w:pBdr>
        <w:spacing w:before="320" w:after="160"/>
      </w:pPr>
      <w:r>
        <w:rPr>
          <w:rFonts w:ascii="Arial" w:cs="Arial" w:eastAsia="Arial" w:hAnsi="Arial"/>
          <w:b/>
          <w:bCs/>
          <w:color w:val="1F4E79"/>
          <w:sz w:val="32"/>
          <w:szCs w:val="32"/>
        </w:rPr>
        <w:t xml:space="preserve">Executive Summary</w:t>
      </w:r>
    </w:p>
    <w:p>
      <w:pPr>
        <w:spacing w:before="60" w:after="60"/>
      </w:pPr>
      <w:r>
        <w:rPr>
          <w:rFonts w:ascii="Arial" w:cs="Arial" w:eastAsia="Arial" w:hAnsi="Arial"/>
          <w:color w:val="333333"/>
          <w:sz w:val="20"/>
          <w:szCs w:val="20"/>
        </w:rPr>
        <w:t xml:space="preserve">This document outlines the architecture, modules, and roadmap for a portfolio risk management platform purpose-built for a long/short equity fund. The platform is designed to move beyond static reporting and provide actionable, real-time intelligence across eight functional domains.</w:t>
      </w:r>
    </w:p>
    <w:p>
      <w:pPr>
        <w:spacing w:before="100" w:after="100"/>
      </w:pPr>
      <w:r>
        <w:t xml:space="preserve"/>
      </w:r>
    </w:p>
    <w:p>
      <w:pPr>
        <w:spacing w:before="60" w:after="60"/>
      </w:pPr>
      <w:r>
        <w:rPr>
          <w:rFonts w:ascii="Arial" w:cs="Arial" w:eastAsia="Arial" w:hAnsi="Arial"/>
          <w:color w:val="333333"/>
          <w:sz w:val="20"/>
          <w:szCs w:val="20"/>
        </w:rPr>
        <w:t xml:space="preserve">All portfolio data and market history will be sourced directly from Google BigQuery, with the platform serving as the analytical and alerting layer on top of that data infrastructure.</w:t>
      </w:r>
    </w:p>
    <w:p>
      <w:pPr>
        <w:spacing w:before="100" w:after="100"/>
      </w:pPr>
      <w:r>
        <w:t xml:space="preserve"/>
      </w:r>
    </w:p>
    <w:p>
      <w:pPr>
        <w:pStyle w:val="Heading1"/>
        <w:pBdr>
          <w:bottom w:val="single" w:color="2E75B6" w:sz="8" w:space="4"/>
        </w:pBdr>
        <w:spacing w:before="320" w:after="160"/>
      </w:pPr>
      <w:r>
        <w:rPr>
          <w:rFonts w:ascii="Arial" w:cs="Arial" w:eastAsia="Arial" w:hAnsi="Arial"/>
          <w:b/>
          <w:bCs/>
          <w:color w:val="1F4E79"/>
          <w:sz w:val="32"/>
          <w:szCs w:val="32"/>
        </w:rPr>
        <w:t xml:space="preserve">1. Functional Modules</w:t>
      </w:r>
    </w:p>
    <w:p>
      <w:pPr>
        <w:spacing w:before="60" w:after="60"/>
      </w:pPr>
      <w:r>
        <w:rPr>
          <w:rFonts w:ascii="Arial" w:cs="Arial" w:eastAsia="Arial" w:hAnsi="Arial"/>
          <w:color w:val="333333"/>
          <w:sz w:val="20"/>
          <w:szCs w:val="20"/>
        </w:rPr>
        <w:t xml:space="preserve">The platform is organised into eight functional modules, each addressing a distinct area of portfolio management and oversight.</w:t>
      </w:r>
    </w:p>
    <w:p>
      <w:pPr>
        <w:spacing w:before="100" w:after="1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8160"/>
      </w:tblGrid>
      <w:tr>
        <w:tc>
          <w:tcPr>
            <w:tcW w:type="dxa" w:w="1200"/>
            <w:tcBorders>
              <w:top w:val="single" w:color="C0C0C0" w:sz="1"/>
              <w:left w:val="single" w:color="C0C0C0" w:sz="1"/>
              <w:bottom w:val="single" w:color="C0C0C0" w:sz="1"/>
              <w:right w:val="single" w:color="C0C0C0" w:sz="1"/>
            </w:tcBorders>
            <w:shd w:fill="1F4E79" w:val="clear"/>
            <w:tcMar>
              <w:top w:type="dxa" w:w="120"/>
              <w:left w:type="dxa" w:w="160"/>
              <w:bottom w:type="dxa" w:w="120"/>
              <w:right w:type="dxa" w:w="160"/>
            </w:tcMar>
            <w:vAlign w:val="center"/>
          </w:tcPr>
          <w:p>
            <w:pPr>
              <w:jc w:val="center"/>
            </w:pPr>
            <w:r>
              <w:rPr>
                <w:rFonts w:ascii="Arial" w:cs="Arial" w:eastAsia="Arial" w:hAnsi="Arial"/>
                <w:b/>
                <w:bCs/>
                <w:color w:val="FFFFFF"/>
                <w:sz w:val="28"/>
                <w:szCs w:val="28"/>
              </w:rPr>
              <w:t xml:space="preserve">M1</w:t>
            </w:r>
          </w:p>
        </w:tc>
        <w:tc>
          <w:tcPr>
            <w:tcW w:type="dxa" w:w="8160"/>
            <w:tcBorders>
              <w:top w:val="single" w:color="C0C0C0" w:sz="1"/>
              <w:left w:val="single" w:color="C0C0C0" w:sz="1"/>
              <w:bottom w:val="single" w:color="C0C0C0" w:sz="1"/>
              <w:right w:val="single" w:color="C0C0C0" w:sz="1"/>
            </w:tcBorders>
            <w:shd w:fill="D6E4F0" w:val="clear"/>
            <w:tcMar>
              <w:top w:type="dxa" w:w="120"/>
              <w:left w:type="dxa" w:w="180"/>
              <w:bottom w:type="dxa" w:w="120"/>
              <w:right w:type="dxa" w:w="180"/>
            </w:tcMar>
          </w:tcPr>
          <w:p>
            <w:pPr>
              <w:spacing w:after="40"/>
            </w:pPr>
            <w:r>
              <w:rPr>
                <w:rFonts w:ascii="Arial" w:cs="Arial" w:eastAsia="Arial" w:hAnsi="Arial"/>
                <w:b/>
                <w:bCs/>
                <w:color w:val="1F4E79"/>
                <w:sz w:val="22"/>
                <w:szCs w:val="22"/>
              </w:rPr>
              <w:t xml:space="preserve">Daily Risk Monitoring &amp; Alerts</w:t>
            </w:r>
          </w:p>
          <w:p>
            <w:r>
              <w:rPr>
                <w:rFonts w:ascii="Arial" w:cs="Arial" w:eastAsia="Arial" w:hAnsi="Arial"/>
                <w:color w:val="444444"/>
                <w:sz w:val="19"/>
                <w:szCs w:val="19"/>
              </w:rPr>
              <w:t xml:space="preserve">The core operational module. Runs on a scheduled basis and evaluates the portfolio against a defined set of hard and soft constraints. Where constraints are breached or approaching limits, the system surfaces specific, actionable remediation recommendations.</w:t>
            </w:r>
          </w:p>
        </w:tc>
      </w:tr>
    </w:tbl>
    <w:p>
      <w:pPr>
        <w:spacing w:before="100" w:after="1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8160"/>
      </w:tblGrid>
      <w:tr>
        <w:tc>
          <w:tcPr>
            <w:tcW w:type="dxa" w:w="1200"/>
            <w:tcBorders>
              <w:top w:val="single" w:color="C0C0C0" w:sz="1"/>
              <w:left w:val="single" w:color="C0C0C0" w:sz="1"/>
              <w:bottom w:val="single" w:color="C0C0C0" w:sz="1"/>
              <w:right w:val="single" w:color="C0C0C0" w:sz="1"/>
            </w:tcBorders>
            <w:shd w:fill="1F4E79" w:val="clear"/>
            <w:tcMar>
              <w:top w:type="dxa" w:w="120"/>
              <w:left w:type="dxa" w:w="160"/>
              <w:bottom w:type="dxa" w:w="120"/>
              <w:right w:type="dxa" w:w="160"/>
            </w:tcMar>
            <w:vAlign w:val="center"/>
          </w:tcPr>
          <w:p>
            <w:pPr>
              <w:jc w:val="center"/>
            </w:pPr>
            <w:r>
              <w:rPr>
                <w:rFonts w:ascii="Arial" w:cs="Arial" w:eastAsia="Arial" w:hAnsi="Arial"/>
                <w:b/>
                <w:bCs/>
                <w:color w:val="FFFFFF"/>
                <w:sz w:val="28"/>
                <w:szCs w:val="28"/>
              </w:rPr>
              <w:t xml:space="preserve">M2</w:t>
            </w:r>
          </w:p>
        </w:tc>
        <w:tc>
          <w:tcPr>
            <w:tcW w:type="dxa" w:w="8160"/>
            <w:tcBorders>
              <w:top w:val="single" w:color="C0C0C0" w:sz="1"/>
              <w:left w:val="single" w:color="C0C0C0" w:sz="1"/>
              <w:bottom w:val="single" w:color="C0C0C0" w:sz="1"/>
              <w:right w:val="single" w:color="C0C0C0" w:sz="1"/>
            </w:tcBorders>
            <w:shd w:fill="D6E4F0" w:val="clear"/>
            <w:tcMar>
              <w:top w:type="dxa" w:w="120"/>
              <w:left w:type="dxa" w:w="180"/>
              <w:bottom w:type="dxa" w:w="120"/>
              <w:right w:type="dxa" w:w="180"/>
            </w:tcMar>
          </w:tcPr>
          <w:p>
            <w:pPr>
              <w:spacing w:after="40"/>
            </w:pPr>
            <w:r>
              <w:rPr>
                <w:rFonts w:ascii="Arial" w:cs="Arial" w:eastAsia="Arial" w:hAnsi="Arial"/>
                <w:b/>
                <w:bCs/>
                <w:color w:val="1F4E79"/>
                <w:sz w:val="22"/>
                <w:szCs w:val="22"/>
              </w:rPr>
              <w:t xml:space="preserve">Intended vs. Unintended Bets</w:t>
            </w:r>
          </w:p>
          <w:p>
            <w:r>
              <w:rPr>
                <w:rFonts w:ascii="Arial" w:cs="Arial" w:eastAsia="Arial" w:hAnsi="Arial"/>
                <w:color w:val="444444"/>
                <w:sz w:val="19"/>
                <w:szCs w:val="19"/>
              </w:rPr>
              <w:t xml:space="preserve">Assesses whether the portfolio's actual factor and sector exposures are consistent with the fund's stated investment views. Surfaces hidden or unintentional bets that may not be visible at the individual position level.</w:t>
            </w:r>
          </w:p>
        </w:tc>
      </w:tr>
    </w:tbl>
    <w:p>
      <w:pPr>
        <w:spacing w:before="100" w:after="1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8160"/>
      </w:tblGrid>
      <w:tr>
        <w:tc>
          <w:tcPr>
            <w:tcW w:type="dxa" w:w="1200"/>
            <w:tcBorders>
              <w:top w:val="single" w:color="C0C0C0" w:sz="1"/>
              <w:left w:val="single" w:color="C0C0C0" w:sz="1"/>
              <w:bottom w:val="single" w:color="C0C0C0" w:sz="1"/>
              <w:right w:val="single" w:color="C0C0C0" w:sz="1"/>
            </w:tcBorders>
            <w:shd w:fill="1F4E79" w:val="clear"/>
            <w:tcMar>
              <w:top w:type="dxa" w:w="120"/>
              <w:left w:type="dxa" w:w="160"/>
              <w:bottom w:type="dxa" w:w="120"/>
              <w:right w:type="dxa" w:w="160"/>
            </w:tcMar>
            <w:vAlign w:val="center"/>
          </w:tcPr>
          <w:p>
            <w:pPr>
              <w:jc w:val="center"/>
            </w:pPr>
            <w:r>
              <w:rPr>
                <w:rFonts w:ascii="Arial" w:cs="Arial" w:eastAsia="Arial" w:hAnsi="Arial"/>
                <w:b/>
                <w:bCs/>
                <w:color w:val="FFFFFF"/>
                <w:sz w:val="28"/>
                <w:szCs w:val="28"/>
              </w:rPr>
              <w:t xml:space="preserve">M3</w:t>
            </w:r>
          </w:p>
        </w:tc>
        <w:tc>
          <w:tcPr>
            <w:tcW w:type="dxa" w:w="8160"/>
            <w:tcBorders>
              <w:top w:val="single" w:color="C0C0C0" w:sz="1"/>
              <w:left w:val="single" w:color="C0C0C0" w:sz="1"/>
              <w:bottom w:val="single" w:color="C0C0C0" w:sz="1"/>
              <w:right w:val="single" w:color="C0C0C0" w:sz="1"/>
            </w:tcBorders>
            <w:shd w:fill="D6E4F0" w:val="clear"/>
            <w:tcMar>
              <w:top w:type="dxa" w:w="120"/>
              <w:left w:type="dxa" w:w="180"/>
              <w:bottom w:type="dxa" w:w="120"/>
              <w:right w:type="dxa" w:w="180"/>
            </w:tcMar>
          </w:tcPr>
          <w:p>
            <w:pPr>
              <w:spacing w:after="40"/>
            </w:pPr>
            <w:r>
              <w:rPr>
                <w:rFonts w:ascii="Arial" w:cs="Arial" w:eastAsia="Arial" w:hAnsi="Arial"/>
                <w:b/>
                <w:bCs/>
                <w:color w:val="1F4E79"/>
                <w:sz w:val="22"/>
                <w:szCs w:val="22"/>
              </w:rPr>
              <w:t xml:space="preserve">Ex-Post Performance Attribution</w:t>
            </w:r>
          </w:p>
          <w:p>
            <w:r>
              <w:rPr>
                <w:rFonts w:ascii="Arial" w:cs="Arial" w:eastAsia="Arial" w:hAnsi="Arial"/>
                <w:color w:val="444444"/>
                <w:sz w:val="19"/>
                <w:szCs w:val="19"/>
              </w:rPr>
              <w:t xml:space="preserve">Decomposes realised returns into their factor, sector, stock selection, and trading cost components. Provides a clear picture of what is driving P&amp;L at both the portfolio and individual position level.</w:t>
            </w:r>
          </w:p>
        </w:tc>
      </w:tr>
    </w:tbl>
    <w:p>
      <w:pPr>
        <w:spacing w:before="100" w:after="1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8160"/>
      </w:tblGrid>
      <w:tr>
        <w:tc>
          <w:tcPr>
            <w:tcW w:type="dxa" w:w="1200"/>
            <w:tcBorders>
              <w:top w:val="single" w:color="C0C0C0" w:sz="1"/>
              <w:left w:val="single" w:color="C0C0C0" w:sz="1"/>
              <w:bottom w:val="single" w:color="C0C0C0" w:sz="1"/>
              <w:right w:val="single" w:color="C0C0C0" w:sz="1"/>
            </w:tcBorders>
            <w:shd w:fill="1F4E79" w:val="clear"/>
            <w:tcMar>
              <w:top w:type="dxa" w:w="120"/>
              <w:left w:type="dxa" w:w="160"/>
              <w:bottom w:type="dxa" w:w="120"/>
              <w:right w:type="dxa" w:w="160"/>
            </w:tcMar>
            <w:vAlign w:val="center"/>
          </w:tcPr>
          <w:p>
            <w:pPr>
              <w:jc w:val="center"/>
            </w:pPr>
            <w:r>
              <w:rPr>
                <w:rFonts w:ascii="Arial" w:cs="Arial" w:eastAsia="Arial" w:hAnsi="Arial"/>
                <w:b/>
                <w:bCs/>
                <w:color w:val="FFFFFF"/>
                <w:sz w:val="28"/>
                <w:szCs w:val="28"/>
              </w:rPr>
              <w:t xml:space="preserve">M4</w:t>
            </w:r>
          </w:p>
        </w:tc>
        <w:tc>
          <w:tcPr>
            <w:tcW w:type="dxa" w:w="8160"/>
            <w:tcBorders>
              <w:top w:val="single" w:color="C0C0C0" w:sz="1"/>
              <w:left w:val="single" w:color="C0C0C0" w:sz="1"/>
              <w:bottom w:val="single" w:color="C0C0C0" w:sz="1"/>
              <w:right w:val="single" w:color="C0C0C0" w:sz="1"/>
            </w:tcBorders>
            <w:shd w:fill="D6E4F0" w:val="clear"/>
            <w:tcMar>
              <w:top w:type="dxa" w:w="120"/>
              <w:left w:type="dxa" w:w="180"/>
              <w:bottom w:type="dxa" w:w="120"/>
              <w:right w:type="dxa" w:w="180"/>
            </w:tcMar>
          </w:tcPr>
          <w:p>
            <w:pPr>
              <w:spacing w:after="40"/>
            </w:pPr>
            <w:r>
              <w:rPr>
                <w:rFonts w:ascii="Arial" w:cs="Arial" w:eastAsia="Arial" w:hAnsi="Arial"/>
                <w:b/>
                <w:bCs/>
                <w:color w:val="1F4E79"/>
                <w:sz w:val="22"/>
                <w:szCs w:val="22"/>
              </w:rPr>
              <w:t xml:space="preserve">Trading Analytics</w:t>
            </w:r>
          </w:p>
          <w:p>
            <w:r>
              <w:rPr>
                <w:rFonts w:ascii="Arial" w:cs="Arial" w:eastAsia="Arial" w:hAnsi="Arial"/>
                <w:color w:val="444444"/>
                <w:sz w:val="19"/>
                <w:szCs w:val="19"/>
              </w:rPr>
              <w:t xml:space="preserve">Evaluates the quality and efficiency of the fund's trading activity. Addresses questions of implementation shortfall, turnover, and whether active trading is adding or destroying value net of costs.</w:t>
            </w:r>
          </w:p>
        </w:tc>
      </w:tr>
    </w:tbl>
    <w:p>
      <w:pPr>
        <w:spacing w:before="100" w:after="1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8160"/>
      </w:tblGrid>
      <w:tr>
        <w:tc>
          <w:tcPr>
            <w:tcW w:type="dxa" w:w="1200"/>
            <w:tcBorders>
              <w:top w:val="single" w:color="C0C0C0" w:sz="1"/>
              <w:left w:val="single" w:color="C0C0C0" w:sz="1"/>
              <w:bottom w:val="single" w:color="C0C0C0" w:sz="1"/>
              <w:right w:val="single" w:color="C0C0C0" w:sz="1"/>
            </w:tcBorders>
            <w:shd w:fill="1F4E79" w:val="clear"/>
            <w:tcMar>
              <w:top w:type="dxa" w:w="120"/>
              <w:left w:type="dxa" w:w="160"/>
              <w:bottom w:type="dxa" w:w="120"/>
              <w:right w:type="dxa" w:w="160"/>
            </w:tcMar>
            <w:vAlign w:val="center"/>
          </w:tcPr>
          <w:p>
            <w:pPr>
              <w:jc w:val="center"/>
            </w:pPr>
            <w:r>
              <w:rPr>
                <w:rFonts w:ascii="Arial" w:cs="Arial" w:eastAsia="Arial" w:hAnsi="Arial"/>
                <w:b/>
                <w:bCs/>
                <w:color w:val="FFFFFF"/>
                <w:sz w:val="28"/>
                <w:szCs w:val="28"/>
              </w:rPr>
              <w:t xml:space="preserve">M5</w:t>
            </w:r>
          </w:p>
        </w:tc>
        <w:tc>
          <w:tcPr>
            <w:tcW w:type="dxa" w:w="8160"/>
            <w:tcBorders>
              <w:top w:val="single" w:color="C0C0C0" w:sz="1"/>
              <w:left w:val="single" w:color="C0C0C0" w:sz="1"/>
              <w:bottom w:val="single" w:color="C0C0C0" w:sz="1"/>
              <w:right w:val="single" w:color="C0C0C0" w:sz="1"/>
            </w:tcBorders>
            <w:shd w:fill="D6E4F0" w:val="clear"/>
            <w:tcMar>
              <w:top w:type="dxa" w:w="120"/>
              <w:left w:type="dxa" w:w="180"/>
              <w:bottom w:type="dxa" w:w="120"/>
              <w:right w:type="dxa" w:w="180"/>
            </w:tcMar>
          </w:tcPr>
          <w:p>
            <w:pPr>
              <w:spacing w:after="40"/>
            </w:pPr>
            <w:r>
              <w:rPr>
                <w:rFonts w:ascii="Arial" w:cs="Arial" w:eastAsia="Arial" w:hAnsi="Arial"/>
                <w:b/>
                <w:bCs/>
                <w:color w:val="1F4E79"/>
                <w:sz w:val="22"/>
                <w:szCs w:val="22"/>
              </w:rPr>
              <w:t xml:space="preserve">External Risk &amp; Prediction Market Monitoring</w:t>
            </w:r>
          </w:p>
          <w:p>
            <w:r>
              <w:rPr>
                <w:rFonts w:ascii="Arial" w:cs="Arial" w:eastAsia="Arial" w:hAnsi="Arial"/>
                <w:color w:val="444444"/>
                <w:sz w:val="19"/>
                <w:szCs w:val="19"/>
              </w:rPr>
              <w:t xml:space="preserve">Integrates external signals — initially prediction market probabilities — to provide forward-looking context for portfolio risk. Useful for flagging event risk not captured in historical factor models or standard risk metrics. Scoped for Phase 2+.</w:t>
            </w:r>
          </w:p>
        </w:tc>
      </w:tr>
    </w:tbl>
    <w:p>
      <w:pPr>
        <w:spacing w:before="100" w:after="1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8160"/>
      </w:tblGrid>
      <w:tr>
        <w:tc>
          <w:tcPr>
            <w:tcW w:type="dxa" w:w="1200"/>
            <w:tcBorders>
              <w:top w:val="single" w:color="C0C0C0" w:sz="1"/>
              <w:left w:val="single" w:color="C0C0C0" w:sz="1"/>
              <w:bottom w:val="single" w:color="C0C0C0" w:sz="1"/>
              <w:right w:val="single" w:color="C0C0C0" w:sz="1"/>
            </w:tcBorders>
            <w:shd w:fill="1F4E79" w:val="clear"/>
            <w:tcMar>
              <w:top w:type="dxa" w:w="120"/>
              <w:left w:type="dxa" w:w="160"/>
              <w:bottom w:type="dxa" w:w="120"/>
              <w:right w:type="dxa" w:w="160"/>
            </w:tcMar>
            <w:vAlign w:val="center"/>
          </w:tcPr>
          <w:p>
            <w:pPr>
              <w:jc w:val="center"/>
            </w:pPr>
            <w:r>
              <w:rPr>
                <w:rFonts w:ascii="Arial" w:cs="Arial" w:eastAsia="Arial" w:hAnsi="Arial"/>
                <w:b/>
                <w:bCs/>
                <w:color w:val="FFFFFF"/>
                <w:sz w:val="28"/>
                <w:szCs w:val="28"/>
              </w:rPr>
              <w:t xml:space="preserve">M6</w:t>
            </w:r>
          </w:p>
        </w:tc>
        <w:tc>
          <w:tcPr>
            <w:tcW w:type="dxa" w:w="8160"/>
            <w:tcBorders>
              <w:top w:val="single" w:color="C0C0C0" w:sz="1"/>
              <w:left w:val="single" w:color="C0C0C0" w:sz="1"/>
              <w:bottom w:val="single" w:color="C0C0C0" w:sz="1"/>
              <w:right w:val="single" w:color="C0C0C0" w:sz="1"/>
            </w:tcBorders>
            <w:shd w:fill="D6E4F0" w:val="clear"/>
            <w:tcMar>
              <w:top w:type="dxa" w:w="120"/>
              <w:left w:type="dxa" w:w="180"/>
              <w:bottom w:type="dxa" w:w="120"/>
              <w:right w:type="dxa" w:w="180"/>
            </w:tcMar>
          </w:tcPr>
          <w:p>
            <w:pPr>
              <w:spacing w:after="40"/>
            </w:pPr>
            <w:r>
              <w:rPr>
                <w:rFonts w:ascii="Arial" w:cs="Arial" w:eastAsia="Arial" w:hAnsi="Arial"/>
                <w:b/>
                <w:bCs/>
                <w:color w:val="1F4E79"/>
                <w:sz w:val="22"/>
                <w:szCs w:val="22"/>
              </w:rPr>
              <w:t xml:space="preserve">Factor Research &amp; Market Regime Analysis</w:t>
            </w:r>
          </w:p>
          <w:p>
            <w:r>
              <w:rPr>
                <w:rFonts w:ascii="Arial" w:cs="Arial" w:eastAsia="Arial" w:hAnsi="Arial"/>
                <w:color w:val="444444"/>
                <w:sz w:val="19"/>
                <w:szCs w:val="19"/>
              </w:rPr>
              <w:t xml:space="preserve">Supports ongoing research into factor performance across different market environments. Builds systematic intuition for when factor tilts are likely to be rewarded and informs portfolio construction decisions.</w:t>
            </w:r>
          </w:p>
        </w:tc>
      </w:tr>
    </w:tbl>
    <w:p>
      <w:pPr>
        <w:spacing w:before="100" w:after="1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8160"/>
      </w:tblGrid>
      <w:tr>
        <w:tc>
          <w:tcPr>
            <w:tcW w:type="dxa" w:w="1200"/>
            <w:tcBorders>
              <w:top w:val="single" w:color="C0C0C0" w:sz="1"/>
              <w:left w:val="single" w:color="C0C0C0" w:sz="1"/>
              <w:bottom w:val="single" w:color="C0C0C0" w:sz="1"/>
              <w:right w:val="single" w:color="C0C0C0" w:sz="1"/>
            </w:tcBorders>
            <w:shd w:fill="1F4E79" w:val="clear"/>
            <w:tcMar>
              <w:top w:type="dxa" w:w="120"/>
              <w:left w:type="dxa" w:w="160"/>
              <w:bottom w:type="dxa" w:w="120"/>
              <w:right w:type="dxa" w:w="160"/>
            </w:tcMar>
            <w:vAlign w:val="center"/>
          </w:tcPr>
          <w:p>
            <w:pPr>
              <w:jc w:val="center"/>
            </w:pPr>
            <w:r>
              <w:rPr>
                <w:rFonts w:ascii="Arial" w:cs="Arial" w:eastAsia="Arial" w:hAnsi="Arial"/>
                <w:b/>
                <w:bCs/>
                <w:color w:val="FFFFFF"/>
                <w:sz w:val="28"/>
                <w:szCs w:val="28"/>
              </w:rPr>
              <w:t xml:space="preserve">M7</w:t>
            </w:r>
          </w:p>
        </w:tc>
        <w:tc>
          <w:tcPr>
            <w:tcW w:type="dxa" w:w="8160"/>
            <w:tcBorders>
              <w:top w:val="single" w:color="C0C0C0" w:sz="1"/>
              <w:left w:val="single" w:color="C0C0C0" w:sz="1"/>
              <w:bottom w:val="single" w:color="C0C0C0" w:sz="1"/>
              <w:right w:val="single" w:color="C0C0C0" w:sz="1"/>
            </w:tcBorders>
            <w:shd w:fill="D6E4F0" w:val="clear"/>
            <w:tcMar>
              <w:top w:type="dxa" w:w="120"/>
              <w:left w:type="dxa" w:w="180"/>
              <w:bottom w:type="dxa" w:w="120"/>
              <w:right w:type="dxa" w:w="180"/>
            </w:tcMar>
          </w:tcPr>
          <w:p>
            <w:pPr>
              <w:spacing w:after="40"/>
            </w:pPr>
            <w:r>
              <w:rPr>
                <w:rFonts w:ascii="Arial" w:cs="Arial" w:eastAsia="Arial" w:hAnsi="Arial"/>
                <w:b/>
                <w:bCs/>
                <w:color w:val="1F4E79"/>
                <w:sz w:val="22"/>
                <w:szCs w:val="22"/>
              </w:rPr>
              <w:t xml:space="preserve">Historical Stress Analysis &amp; Factor Unwind Risk Scoring</w:t>
            </w:r>
          </w:p>
          <w:p>
            <w:r>
              <w:rPr>
                <w:rFonts w:ascii="Arial" w:cs="Arial" w:eastAsia="Arial" w:hAnsi="Arial"/>
                <w:color w:val="444444"/>
                <w:sz w:val="19"/>
                <w:szCs w:val="19"/>
              </w:rPr>
              <w:t xml:space="preserve">Examines specific historical periods characterised by violent factor unwinds, overlays the fund's portfolio composition and factor tilts at the time, and produces a forward-looking risk score measuring exposure to a repeat of each identified event type. Informed by quantitative factor return data and sell-side commentary indexed in BigQuery.</w:t>
            </w:r>
          </w:p>
        </w:tc>
      </w:tr>
    </w:tbl>
    <w:p>
      <w:pPr>
        <w:spacing w:before="100" w:after="1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8160"/>
      </w:tblGrid>
      <w:tr>
        <w:tc>
          <w:tcPr>
            <w:tcW w:type="dxa" w:w="1200"/>
            <w:tcBorders>
              <w:top w:val="single" w:color="C0C0C0" w:sz="1"/>
              <w:left w:val="single" w:color="C0C0C0" w:sz="1"/>
              <w:bottom w:val="single" w:color="C0C0C0" w:sz="1"/>
              <w:right w:val="single" w:color="C0C0C0" w:sz="1"/>
            </w:tcBorders>
            <w:shd w:fill="1F4E79" w:val="clear"/>
            <w:tcMar>
              <w:top w:type="dxa" w:w="120"/>
              <w:left w:type="dxa" w:w="160"/>
              <w:bottom w:type="dxa" w:w="120"/>
              <w:right w:type="dxa" w:w="160"/>
            </w:tcMar>
            <w:vAlign w:val="center"/>
          </w:tcPr>
          <w:p>
            <w:pPr>
              <w:jc w:val="center"/>
            </w:pPr>
            <w:r>
              <w:rPr>
                <w:rFonts w:ascii="Arial" w:cs="Arial" w:eastAsia="Arial" w:hAnsi="Arial"/>
                <w:b/>
                <w:bCs/>
                <w:color w:val="FFFFFF"/>
                <w:sz w:val="28"/>
                <w:szCs w:val="28"/>
              </w:rPr>
              <w:t xml:space="preserve">M8</w:t>
            </w:r>
          </w:p>
        </w:tc>
        <w:tc>
          <w:tcPr>
            <w:tcW w:type="dxa" w:w="8160"/>
            <w:tcBorders>
              <w:top w:val="single" w:color="C0C0C0" w:sz="1"/>
              <w:left w:val="single" w:color="C0C0C0" w:sz="1"/>
              <w:bottom w:val="single" w:color="C0C0C0" w:sz="1"/>
              <w:right w:val="single" w:color="C0C0C0" w:sz="1"/>
            </w:tcBorders>
            <w:shd w:fill="D6E4F0" w:val="clear"/>
            <w:tcMar>
              <w:top w:type="dxa" w:w="120"/>
              <w:left w:type="dxa" w:w="180"/>
              <w:bottom w:type="dxa" w:w="120"/>
              <w:right w:type="dxa" w:w="180"/>
            </w:tcMar>
          </w:tcPr>
          <w:p>
            <w:pPr>
              <w:spacing w:after="40"/>
            </w:pPr>
            <w:r>
              <w:rPr>
                <w:rFonts w:ascii="Arial" w:cs="Arial" w:eastAsia="Arial" w:hAnsi="Arial"/>
                <w:b/>
                <w:bCs/>
                <w:color w:val="1F4E79"/>
                <w:sz w:val="22"/>
                <w:szCs w:val="22"/>
              </w:rPr>
              <w:t xml:space="preserve">Institutional Journal, Research Repository &amp; AI Synthesis</w:t>
            </w:r>
          </w:p>
          <w:p>
            <w:r>
              <w:rPr>
                <w:rFonts w:ascii="Arial" w:cs="Arial" w:eastAsia="Arial" w:hAnsi="Arial"/>
                <w:color w:val="444444"/>
                <w:sz w:val="19"/>
                <w:szCs w:val="19"/>
              </w:rPr>
              <w:t xml:space="preserve">A unified knowledge base combining hand-written journal entries with ingested research documents — sell-side notes, expert network call transcripts, earnings transcripts, news, and internal memos. All content is tagged, searchable, and queryable via an AI synthesis interface that retrieves relevant documents and generates cited answers drawn from the corpus. Turns accumulated institutional experience and external research into a single queryable asset.</w:t>
            </w:r>
          </w:p>
        </w:tc>
      </w:tr>
    </w:tbl>
    <w:p>
      <w:pPr>
        <w:spacing w:before="100" w:after="100"/>
      </w:pPr>
      <w:r>
        <w:t xml:space="preserve"/>
      </w:r>
    </w:p>
    <w:p>
      <w:pPr>
        <w:pStyle w:val="Heading1"/>
        <w:pBdr>
          <w:bottom w:val="single" w:color="2E75B6" w:sz="8" w:space="4"/>
        </w:pBdr>
        <w:spacing w:before="320" w:after="160"/>
      </w:pPr>
      <w:r>
        <w:rPr>
          <w:rFonts w:ascii="Arial" w:cs="Arial" w:eastAsia="Arial" w:hAnsi="Arial"/>
          <w:b/>
          <w:bCs/>
          <w:color w:val="1F4E79"/>
          <w:sz w:val="32"/>
          <w:szCs w:val="32"/>
        </w:rPr>
        <w:t xml:space="preserve">2. Module Detail</w:t>
      </w:r>
    </w:p>
    <w:p>
      <w:pPr>
        <w:pStyle w:val="Heading2"/>
        <w:spacing w:before="240" w:after="120"/>
      </w:pPr>
      <w:r>
        <w:rPr>
          <w:rFonts w:ascii="Arial" w:cs="Arial" w:eastAsia="Arial" w:hAnsi="Arial"/>
          <w:b/>
          <w:bCs/>
          <w:color w:val="2E75B6"/>
          <w:sz w:val="26"/>
          <w:szCs w:val="26"/>
        </w:rPr>
        <w:t xml:space="preserve">Module 1 — Daily Risk Monitoring &amp; Alerts</w:t>
      </w:r>
    </w:p>
    <w:p>
      <w:pPr>
        <w:pStyle w:val="Heading3"/>
        <w:spacing w:before="200" w:after="100"/>
      </w:pPr>
      <w:r>
        <w:rPr>
          <w:rFonts w:ascii="Arial" w:cs="Arial" w:eastAsia="Arial" w:hAnsi="Arial"/>
          <w:b/>
          <w:bCs/>
          <w:color w:val="1A1A2E"/>
          <w:sz w:val="22"/>
          <w:szCs w:val="22"/>
        </w:rPr>
        <w:t xml:space="preserve">Constraint Monitor</w:t>
      </w:r>
    </w:p>
    <w:p>
      <w:pPr>
        <w:pStyle w:val="ListParagraph"/>
        <w:numPr>
          <w:ilvl w:val="0"/>
          <w:numId w:val="2"/>
        </w:numPr>
        <w:spacing w:before="40" w:after="40"/>
      </w:pPr>
      <w:r>
        <w:rPr>
          <w:rFonts w:ascii="Arial" w:cs="Arial" w:eastAsia="Arial" w:hAnsi="Arial"/>
          <w:color w:val="333333"/>
          <w:sz w:val="20"/>
          <w:szCs w:val="20"/>
        </w:rPr>
        <w:t xml:space="preserve">Gross exposure (total long + short as % of NAV)</w:t>
      </w:r>
    </w:p>
    <w:p>
      <w:pPr>
        <w:pStyle w:val="ListParagraph"/>
        <w:numPr>
          <w:ilvl w:val="0"/>
          <w:numId w:val="2"/>
        </w:numPr>
        <w:spacing w:before="40" w:after="40"/>
      </w:pPr>
      <w:r>
        <w:rPr>
          <w:rFonts w:ascii="Arial" w:cs="Arial" w:eastAsia="Arial" w:hAnsi="Arial"/>
          <w:color w:val="333333"/>
          <w:sz w:val="20"/>
          <w:szCs w:val="20"/>
        </w:rPr>
        <w:t xml:space="preserve">Net exposure (longs minus shorts as % of NAV)</w:t>
      </w:r>
    </w:p>
    <w:p>
      <w:pPr>
        <w:pStyle w:val="ListParagraph"/>
        <w:numPr>
          <w:ilvl w:val="0"/>
          <w:numId w:val="2"/>
        </w:numPr>
        <w:spacing w:before="40" w:after="40"/>
      </w:pPr>
      <w:r>
        <w:rPr>
          <w:rFonts w:ascii="Arial" w:cs="Arial" w:eastAsia="Arial" w:hAnsi="Arial"/>
          <w:color w:val="333333"/>
          <w:sz w:val="20"/>
          <w:szCs w:val="20"/>
        </w:rPr>
        <w:t xml:space="preserve">Sector beta — individual sector and aggregate portfolio</w:t>
      </w:r>
    </w:p>
    <w:p>
      <w:pPr>
        <w:pStyle w:val="ListParagraph"/>
        <w:numPr>
          <w:ilvl w:val="0"/>
          <w:numId w:val="2"/>
        </w:numPr>
        <w:spacing w:before="40" w:after="40"/>
      </w:pPr>
      <w:r>
        <w:rPr>
          <w:rFonts w:ascii="Arial" w:cs="Arial" w:eastAsia="Arial" w:hAnsi="Arial"/>
          <w:color w:val="333333"/>
          <w:sz w:val="20"/>
          <w:szCs w:val="20"/>
        </w:rPr>
        <w:t xml:space="preserve">Single-name concentration (% of NAV, % of gross)</w:t>
      </w:r>
    </w:p>
    <w:p>
      <w:pPr>
        <w:pStyle w:val="ListParagraph"/>
        <w:numPr>
          <w:ilvl w:val="0"/>
          <w:numId w:val="2"/>
        </w:numPr>
        <w:spacing w:before="40" w:after="40"/>
      </w:pPr>
      <w:r>
        <w:rPr>
          <w:rFonts w:ascii="Arial" w:cs="Arial" w:eastAsia="Arial" w:hAnsi="Arial"/>
          <w:color w:val="333333"/>
          <w:sz w:val="20"/>
          <w:szCs w:val="20"/>
        </w:rPr>
        <w:t xml:space="preserve">Factor exposures: market beta, size, value, momentum, quality, low vol</w:t>
      </w:r>
    </w:p>
    <w:p>
      <w:pPr>
        <w:pStyle w:val="ListParagraph"/>
        <w:numPr>
          <w:ilvl w:val="0"/>
          <w:numId w:val="2"/>
        </w:numPr>
        <w:spacing w:before="40" w:after="40"/>
      </w:pPr>
      <w:r>
        <w:rPr>
          <w:rFonts w:ascii="Arial" w:cs="Arial" w:eastAsia="Arial" w:hAnsi="Arial"/>
          <w:color w:val="333333"/>
          <w:sz w:val="20"/>
          <w:szCs w:val="20"/>
        </w:rPr>
        <w:t xml:space="preserve">Liquidity: ADV coverage, days-to-cover on both longs and shorts</w:t>
      </w:r>
    </w:p>
    <w:p>
      <w:pPr>
        <w:pStyle w:val="ListParagraph"/>
        <w:numPr>
          <w:ilvl w:val="0"/>
          <w:numId w:val="2"/>
        </w:numPr>
        <w:spacing w:before="40" w:after="40"/>
      </w:pPr>
      <w:r>
        <w:rPr>
          <w:rFonts w:ascii="Arial" w:cs="Arial" w:eastAsia="Arial" w:hAnsi="Arial"/>
          <w:color w:val="333333"/>
          <w:sz w:val="20"/>
          <w:szCs w:val="20"/>
        </w:rPr>
        <w:t xml:space="preserve">Country and currency exposure</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Example Remediation Logic: Sector Beta Too High</w:t>
      </w:r>
    </w:p>
    <w:p>
      <w:pPr>
        <w:pStyle w:val="ListParagraph"/>
        <w:numPr>
          <w:ilvl w:val="0"/>
          <w:numId w:val="2"/>
        </w:numPr>
        <w:spacing w:before="40" w:after="40"/>
      </w:pPr>
      <w:r>
        <w:rPr>
          <w:rFonts w:ascii="Arial" w:cs="Arial" w:eastAsia="Arial" w:hAnsi="Arial"/>
          <w:color w:val="333333"/>
          <w:sz w:val="20"/>
          <w:szCs w:val="20"/>
        </w:rPr>
        <w:t xml:space="preserve">Identify names in the offending sector with the highest beta contribution</w:t>
      </w:r>
    </w:p>
    <w:p>
      <w:pPr>
        <w:pStyle w:val="ListParagraph"/>
        <w:numPr>
          <w:ilvl w:val="0"/>
          <w:numId w:val="2"/>
        </w:numPr>
        <w:spacing w:before="40" w:after="40"/>
      </w:pPr>
      <w:r>
        <w:rPr>
          <w:rFonts w:ascii="Arial" w:cs="Arial" w:eastAsia="Arial" w:hAnsi="Arial"/>
          <w:color w:val="333333"/>
          <w:sz w:val="20"/>
          <w:szCs w:val="20"/>
        </w:rPr>
        <w:t xml:space="preserve">Rank by: beta contribution, liquidity (ADV), current P&amp;L, position size vs. target</w:t>
      </w:r>
    </w:p>
    <w:p>
      <w:pPr>
        <w:pStyle w:val="ListParagraph"/>
        <w:numPr>
          <w:ilvl w:val="0"/>
          <w:numId w:val="2"/>
        </w:numPr>
        <w:spacing w:before="40" w:after="40"/>
      </w:pPr>
      <w:r>
        <w:rPr>
          <w:rFonts w:ascii="Arial" w:cs="Arial" w:eastAsia="Arial" w:hAnsi="Arial"/>
          <w:color w:val="333333"/>
          <w:sz w:val="20"/>
          <w:szCs w:val="20"/>
        </w:rPr>
        <w:t xml:space="preserve">Output recommendation: "Reducing [Name] by X shares reduces sector beta by Y bps"</w:t>
      </w:r>
    </w:p>
    <w:p>
      <w:pPr>
        <w:pStyle w:val="ListParagraph"/>
        <w:numPr>
          <w:ilvl w:val="0"/>
          <w:numId w:val="2"/>
        </w:numPr>
        <w:spacing w:before="40" w:after="40"/>
      </w:pPr>
      <w:r>
        <w:rPr>
          <w:rFonts w:ascii="Arial" w:cs="Arial" w:eastAsia="Arial" w:hAnsi="Arial"/>
          <w:color w:val="333333"/>
          <w:sz w:val="20"/>
          <w:szCs w:val="20"/>
        </w:rPr>
        <w:t xml:space="preserve">Optional: suggest adding an offsetting short in a low-conviction name within the sector</w:t>
      </w:r>
    </w:p>
    <w:p>
      <w:pPr>
        <w:spacing w:before="100" w:after="100"/>
      </w:pPr>
      <w:r>
        <w:t xml:space="preserve"/>
      </w:r>
    </w:p>
    <w:p>
      <w:pPr>
        <w:pStyle w:val="Heading2"/>
        <w:spacing w:before="240" w:after="120"/>
      </w:pPr>
      <w:r>
        <w:rPr>
          <w:rFonts w:ascii="Arial" w:cs="Arial" w:eastAsia="Arial" w:hAnsi="Arial"/>
          <w:b/>
          <w:bCs/>
          <w:color w:val="2E75B6"/>
          <w:sz w:val="26"/>
          <w:szCs w:val="26"/>
        </w:rPr>
        <w:t xml:space="preserve">Module 2 — Intended vs. Unintended Bets</w:t>
      </w:r>
    </w:p>
    <w:p>
      <w:pPr>
        <w:pStyle w:val="ListParagraph"/>
        <w:numPr>
          <w:ilvl w:val="0"/>
          <w:numId w:val="2"/>
        </w:numPr>
        <w:spacing w:before="40" w:after="40"/>
      </w:pPr>
      <w:r>
        <w:rPr>
          <w:rFonts w:ascii="Arial" w:cs="Arial" w:eastAsia="Arial" w:hAnsi="Arial"/>
          <w:color w:val="333333"/>
          <w:sz w:val="20"/>
          <w:szCs w:val="20"/>
        </w:rPr>
        <w:t xml:space="preserve">PM conviction capture — structured view register at name, sector, factor, and theme level</w:t>
      </w:r>
    </w:p>
    <w:p>
      <w:pPr>
        <w:pStyle w:val="ListParagraph"/>
        <w:numPr>
          <w:ilvl w:val="0"/>
          <w:numId w:val="2"/>
        </w:numPr>
        <w:spacing w:before="40" w:after="40"/>
      </w:pPr>
      <w:r>
        <w:rPr>
          <w:rFonts w:ascii="Arial" w:cs="Arial" w:eastAsia="Arial" w:hAnsi="Arial"/>
          <w:color w:val="333333"/>
          <w:sz w:val="20"/>
          <w:szCs w:val="20"/>
        </w:rPr>
        <w:t xml:space="preserve">Exposure decomposition — map realised exposures against stated views</w:t>
      </w:r>
    </w:p>
    <w:p>
      <w:pPr>
        <w:pStyle w:val="ListParagraph"/>
        <w:numPr>
          <w:ilvl w:val="0"/>
          <w:numId w:val="2"/>
        </w:numPr>
        <w:spacing w:before="40" w:after="40"/>
      </w:pPr>
      <w:r>
        <w:rPr>
          <w:rFonts w:ascii="Arial" w:cs="Arial" w:eastAsia="Arial" w:hAnsi="Arial"/>
          <w:color w:val="333333"/>
          <w:sz w:val="20"/>
          <w:szCs w:val="20"/>
        </w:rPr>
        <w:t xml:space="preserve">Alignment scorecard — RAG status showing drift between intended and actual bets</w:t>
      </w:r>
    </w:p>
    <w:p>
      <w:pPr>
        <w:pStyle w:val="ListParagraph"/>
        <w:numPr>
          <w:ilvl w:val="0"/>
          <w:numId w:val="2"/>
        </w:numPr>
        <w:spacing w:before="40" w:after="40"/>
      </w:pPr>
      <w:r>
        <w:rPr>
          <w:rFonts w:ascii="Arial" w:cs="Arial" w:eastAsia="Arial" w:hAnsi="Arial"/>
          <w:color w:val="333333"/>
          <w:sz w:val="20"/>
          <w:szCs w:val="20"/>
        </w:rPr>
        <w:t xml:space="preserve">Drift monitor — flag when a position's factor profile has migrated away from its intended thesis</w:t>
      </w:r>
    </w:p>
    <w:p>
      <w:pPr>
        <w:spacing w:before="100" w:after="100"/>
      </w:pPr>
      <w:r>
        <w:t xml:space="preserve"/>
      </w:r>
    </w:p>
    <w:p>
      <w:pPr>
        <w:pStyle w:val="Heading2"/>
        <w:spacing w:before="240" w:after="120"/>
      </w:pPr>
      <w:r>
        <w:rPr>
          <w:rFonts w:ascii="Arial" w:cs="Arial" w:eastAsia="Arial" w:hAnsi="Arial"/>
          <w:b/>
          <w:bCs/>
          <w:color w:val="2E75B6"/>
          <w:sz w:val="26"/>
          <w:szCs w:val="26"/>
        </w:rPr>
        <w:t xml:space="preserve">Module 3 — Ex-Post Performance Attribution</w:t>
      </w:r>
    </w:p>
    <w:p>
      <w:pPr>
        <w:pStyle w:val="ListParagraph"/>
        <w:numPr>
          <w:ilvl w:val="0"/>
          <w:numId w:val="2"/>
        </w:numPr>
        <w:spacing w:before="40" w:after="40"/>
      </w:pPr>
      <w:r>
        <w:rPr>
          <w:rFonts w:ascii="Arial" w:cs="Arial" w:eastAsia="Arial" w:hAnsi="Arial"/>
          <w:color w:val="333333"/>
          <w:sz w:val="20"/>
          <w:szCs w:val="20"/>
        </w:rPr>
        <w:t xml:space="preserve">Brinson-style attribution (allocation + selection + interaction)</w:t>
      </w:r>
    </w:p>
    <w:p>
      <w:pPr>
        <w:pStyle w:val="ListParagraph"/>
        <w:numPr>
          <w:ilvl w:val="0"/>
          <w:numId w:val="2"/>
        </w:numPr>
        <w:spacing w:before="40" w:after="40"/>
      </w:pPr>
      <w:r>
        <w:rPr>
          <w:rFonts w:ascii="Arial" w:cs="Arial" w:eastAsia="Arial" w:hAnsi="Arial"/>
          <w:color w:val="333333"/>
          <w:sz w:val="20"/>
          <w:szCs w:val="20"/>
        </w:rPr>
        <w:t xml:space="preserve">Factor-based attribution using Barra/MSCI factor returns</w:t>
      </w:r>
    </w:p>
    <w:p>
      <w:pPr>
        <w:pStyle w:val="ListParagraph"/>
        <w:numPr>
          <w:ilvl w:val="0"/>
          <w:numId w:val="2"/>
        </w:numPr>
        <w:spacing w:before="40" w:after="40"/>
      </w:pPr>
      <w:r>
        <w:rPr>
          <w:rFonts w:ascii="Arial" w:cs="Arial" w:eastAsia="Arial" w:hAnsi="Arial"/>
          <w:color w:val="333333"/>
          <w:sz w:val="20"/>
          <w:szCs w:val="20"/>
        </w:rPr>
        <w:t xml:space="preserve">Daily, weekly, MTD, YTD, and since-inception attribution views</w:t>
      </w:r>
    </w:p>
    <w:p>
      <w:pPr>
        <w:pStyle w:val="ListParagraph"/>
        <w:numPr>
          <w:ilvl w:val="0"/>
          <w:numId w:val="2"/>
        </w:numPr>
        <w:spacing w:before="40" w:after="40"/>
      </w:pPr>
      <w:r>
        <w:rPr>
          <w:rFonts w:ascii="Arial" w:cs="Arial" w:eastAsia="Arial" w:hAnsi="Arial"/>
          <w:color w:val="333333"/>
          <w:sz w:val="20"/>
          <w:szCs w:val="20"/>
        </w:rPr>
        <w:t xml:space="preserve">Best and worst contributor analysis at position and factor level</w:t>
      </w:r>
    </w:p>
    <w:p>
      <w:pPr>
        <w:spacing w:before="100" w:after="100"/>
      </w:pPr>
      <w:r>
        <w:t xml:space="preserve"/>
      </w:r>
    </w:p>
    <w:p>
      <w:pPr>
        <w:pStyle w:val="Heading2"/>
        <w:spacing w:before="240" w:after="120"/>
      </w:pPr>
      <w:r>
        <w:rPr>
          <w:rFonts w:ascii="Arial" w:cs="Arial" w:eastAsia="Arial" w:hAnsi="Arial"/>
          <w:b/>
          <w:bCs/>
          <w:color w:val="2E75B6"/>
          <w:sz w:val="26"/>
          <w:szCs w:val="26"/>
        </w:rPr>
        <w:t xml:space="preserve">Module 4 — Trading Analytics</w:t>
      </w:r>
    </w:p>
    <w:p>
      <w:pPr>
        <w:pStyle w:val="ListParagraph"/>
        <w:numPr>
          <w:ilvl w:val="0"/>
          <w:numId w:val="2"/>
        </w:numPr>
        <w:spacing w:before="40" w:after="40"/>
      </w:pPr>
      <w:r>
        <w:rPr>
          <w:rFonts w:ascii="Arial" w:cs="Arial" w:eastAsia="Arial" w:hAnsi="Arial"/>
          <w:color w:val="333333"/>
          <w:sz w:val="20"/>
          <w:szCs w:val="20"/>
        </w:rPr>
        <w:t xml:space="preserve">Implementation shortfall: decision price vs. execution price vs. end-of-day price</w:t>
      </w:r>
    </w:p>
    <w:p>
      <w:pPr>
        <w:pStyle w:val="ListParagraph"/>
        <w:numPr>
          <w:ilvl w:val="0"/>
          <w:numId w:val="2"/>
        </w:numPr>
        <w:spacing w:before="40" w:after="40"/>
      </w:pPr>
      <w:r>
        <w:rPr>
          <w:rFonts w:ascii="Arial" w:cs="Arial" w:eastAsia="Arial" w:hAnsi="Arial"/>
          <w:color w:val="333333"/>
          <w:sz w:val="20"/>
          <w:szCs w:val="20"/>
        </w:rPr>
        <w:t xml:space="preserve">Turnover analysis: gross, net, and one-way by sector and factor</w:t>
      </w:r>
    </w:p>
    <w:p>
      <w:pPr>
        <w:pStyle w:val="ListParagraph"/>
        <w:numPr>
          <w:ilvl w:val="0"/>
          <w:numId w:val="2"/>
        </w:numPr>
        <w:spacing w:before="40" w:after="40"/>
      </w:pPr>
      <w:r>
        <w:rPr>
          <w:rFonts w:ascii="Arial" w:cs="Arial" w:eastAsia="Arial" w:hAnsi="Arial"/>
          <w:color w:val="333333"/>
          <w:sz w:val="20"/>
          <w:szCs w:val="20"/>
        </w:rPr>
        <w:t xml:space="preserve">Post-trade performance: 1d, 5d, 20d P&amp;L on closed trades</w:t>
      </w:r>
    </w:p>
    <w:p>
      <w:pPr>
        <w:pStyle w:val="ListParagraph"/>
        <w:numPr>
          <w:ilvl w:val="0"/>
          <w:numId w:val="2"/>
        </w:numPr>
        <w:spacing w:before="40" w:after="40"/>
      </w:pPr>
      <w:r>
        <w:rPr>
          <w:rFonts w:ascii="Arial" w:cs="Arial" w:eastAsia="Arial" w:hAnsi="Arial"/>
          <w:color w:val="333333"/>
          <w:sz w:val="20"/>
          <w:szCs w:val="20"/>
        </w:rPr>
        <w:t xml:space="preserve">Over-trading detector: flag positions where trading frequency exceeds alpha decay assumptions</w:t>
      </w:r>
    </w:p>
    <w:p>
      <w:pPr>
        <w:pStyle w:val="ListParagraph"/>
        <w:numPr>
          <w:ilvl w:val="0"/>
          <w:numId w:val="2"/>
        </w:numPr>
        <w:spacing w:before="40" w:after="40"/>
      </w:pPr>
      <w:r>
        <w:rPr>
          <w:rFonts w:ascii="Arial" w:cs="Arial" w:eastAsia="Arial" w:hAnsi="Arial"/>
          <w:color w:val="333333"/>
          <w:sz w:val="20"/>
          <w:szCs w:val="20"/>
        </w:rPr>
        <w:t xml:space="preserve">Trading cost tracker: commission, spread, and market impact estimates</w:t>
      </w:r>
    </w:p>
    <w:p>
      <w:pPr>
        <w:spacing w:before="100" w:after="100"/>
      </w:pPr>
      <w:r>
        <w:t xml:space="preserve"/>
      </w:r>
    </w:p>
    <w:p>
      <w:pPr>
        <w:pStyle w:val="Heading2"/>
        <w:spacing w:before="240" w:after="120"/>
      </w:pPr>
      <w:r>
        <w:rPr>
          <w:rFonts w:ascii="Arial" w:cs="Arial" w:eastAsia="Arial" w:hAnsi="Arial"/>
          <w:b/>
          <w:bCs/>
          <w:color w:val="2E75B6"/>
          <w:sz w:val="26"/>
          <w:szCs w:val="26"/>
        </w:rPr>
        <w:t xml:space="preserve">Module 5 — External Risk &amp; Prediction Market Monitoring</w:t>
      </w:r>
    </w:p>
    <w:p>
      <w:pPr>
        <w:spacing w:before="100" w:after="100"/>
        <w:ind w:left="360"/>
      </w:pPr>
      <w:r>
        <w:rPr>
          <w:rFonts w:ascii="Arial" w:cs="Arial" w:eastAsia="Arial" w:hAnsi="Arial"/>
          <w:i/>
          <w:iCs/>
          <w:color w:val="666666"/>
          <w:sz w:val="18"/>
          <w:szCs w:val="18"/>
        </w:rPr>
        <w:t xml:space="preserve">Phase 2+ scope. Initial work will focus on defining relevant event categories and establishing data pipelines.</w:t>
      </w:r>
    </w:p>
    <w:p>
      <w:pPr>
        <w:spacing w:before="100" w:after="100"/>
      </w:pPr>
      <w:r>
        <w:t xml:space="preserve"/>
      </w:r>
    </w:p>
    <w:p>
      <w:pPr>
        <w:pStyle w:val="ListParagraph"/>
        <w:numPr>
          <w:ilvl w:val="0"/>
          <w:numId w:val="2"/>
        </w:numPr>
        <w:spacing w:before="40" w:after="40"/>
      </w:pPr>
      <w:r>
        <w:rPr>
          <w:rFonts w:ascii="Arial" w:cs="Arial" w:eastAsia="Arial" w:hAnsi="Arial"/>
          <w:color w:val="333333"/>
          <w:sz w:val="20"/>
          <w:szCs w:val="20"/>
        </w:rPr>
        <w:t xml:space="preserve">Polymarket and Kalshi API integration for real-time probability data</w:t>
      </w:r>
    </w:p>
    <w:p>
      <w:pPr>
        <w:pStyle w:val="ListParagraph"/>
        <w:numPr>
          <w:ilvl w:val="0"/>
          <w:numId w:val="2"/>
        </w:numPr>
        <w:spacing w:before="40" w:after="40"/>
      </w:pPr>
      <w:r>
        <w:rPr>
          <w:rFonts w:ascii="Arial" w:cs="Arial" w:eastAsia="Arial" w:hAnsi="Arial"/>
          <w:color w:val="333333"/>
          <w:sz w:val="20"/>
          <w:szCs w:val="20"/>
        </w:rPr>
        <w:t xml:space="preserve">Map prediction market events to portfolio exposure (sector, factor, name level)</w:t>
      </w:r>
    </w:p>
    <w:p>
      <w:pPr>
        <w:pStyle w:val="ListParagraph"/>
        <w:numPr>
          <w:ilvl w:val="0"/>
          <w:numId w:val="2"/>
        </w:numPr>
        <w:spacing w:before="40" w:after="40"/>
      </w:pPr>
      <w:r>
        <w:rPr>
          <w:rFonts w:ascii="Arial" w:cs="Arial" w:eastAsia="Arial" w:hAnsi="Arial"/>
          <w:color w:val="333333"/>
          <w:sz w:val="20"/>
          <w:szCs w:val="20"/>
        </w:rPr>
        <w:t xml:space="preserve">Event risk dashboard: show portfolio sensitivity to events with elevated probability</w:t>
      </w:r>
    </w:p>
    <w:p>
      <w:pPr>
        <w:spacing w:before="100" w:after="100"/>
      </w:pPr>
      <w:r>
        <w:t xml:space="preserve"/>
      </w:r>
    </w:p>
    <w:p>
      <w:pPr>
        <w:pStyle w:val="Heading2"/>
        <w:spacing w:before="240" w:after="120"/>
      </w:pPr>
      <w:r>
        <w:rPr>
          <w:rFonts w:ascii="Arial" w:cs="Arial" w:eastAsia="Arial" w:hAnsi="Arial"/>
          <w:b/>
          <w:bCs/>
          <w:color w:val="2E75B6"/>
          <w:sz w:val="26"/>
          <w:szCs w:val="26"/>
        </w:rPr>
        <w:t xml:space="preserve">Module 6 — Factor Research &amp; Market Regime Analysis</w:t>
      </w:r>
    </w:p>
    <w:p>
      <w:pPr>
        <w:pStyle w:val="ListParagraph"/>
        <w:numPr>
          <w:ilvl w:val="0"/>
          <w:numId w:val="2"/>
        </w:numPr>
        <w:spacing w:before="40" w:after="40"/>
      </w:pPr>
      <w:r>
        <w:rPr>
          <w:rFonts w:ascii="Arial" w:cs="Arial" w:eastAsia="Arial" w:hAnsi="Arial"/>
          <w:color w:val="333333"/>
          <w:sz w:val="20"/>
          <w:szCs w:val="20"/>
        </w:rPr>
        <w:t xml:space="preserve">Factor return library: daily returns for all MSCI Barra style and industry factors</w:t>
      </w:r>
    </w:p>
    <w:p>
      <w:pPr>
        <w:pStyle w:val="ListParagraph"/>
        <w:numPr>
          <w:ilvl w:val="0"/>
          <w:numId w:val="2"/>
        </w:numPr>
        <w:spacing w:before="40" w:after="40"/>
      </w:pPr>
      <w:r>
        <w:rPr>
          <w:rFonts w:ascii="Arial" w:cs="Arial" w:eastAsia="Arial" w:hAnsi="Arial"/>
          <w:color w:val="333333"/>
          <w:sz w:val="20"/>
          <w:szCs w:val="20"/>
        </w:rPr>
        <w:t xml:space="preserve">Regime classification: identify current market regime (risk-on/off, factor momentum, etc.)</w:t>
      </w:r>
    </w:p>
    <w:p>
      <w:pPr>
        <w:pStyle w:val="ListParagraph"/>
        <w:numPr>
          <w:ilvl w:val="0"/>
          <w:numId w:val="2"/>
        </w:numPr>
        <w:spacing w:before="40" w:after="40"/>
      </w:pPr>
      <w:r>
        <w:rPr>
          <w:rFonts w:ascii="Arial" w:cs="Arial" w:eastAsia="Arial" w:hAnsi="Arial"/>
          <w:color w:val="333333"/>
          <w:sz w:val="20"/>
          <w:szCs w:val="20"/>
        </w:rPr>
        <w:t xml:space="preserve">Factor-regime analysis: backtested factor performance by regime</w:t>
      </w:r>
    </w:p>
    <w:p>
      <w:pPr>
        <w:pStyle w:val="ListParagraph"/>
        <w:numPr>
          <w:ilvl w:val="0"/>
          <w:numId w:val="2"/>
        </w:numPr>
        <w:spacing w:before="40" w:after="40"/>
      </w:pPr>
      <w:r>
        <w:rPr>
          <w:rFonts w:ascii="Arial" w:cs="Arial" w:eastAsia="Arial" w:hAnsi="Arial"/>
          <w:color w:val="333333"/>
          <w:sz w:val="20"/>
          <w:szCs w:val="20"/>
        </w:rPr>
        <w:t xml:space="preserve">Research notebook interface: interactive exploration with pre-built templates</w:t>
      </w:r>
    </w:p>
    <w:p>
      <w:pPr>
        <w:spacing w:before="100" w:after="100"/>
      </w:pPr>
      <w:r>
        <w:t xml:space="preserve"/>
      </w:r>
    </w:p>
    <w:p>
      <w:pPr>
        <w:pStyle w:val="Heading2"/>
        <w:spacing w:before="240" w:after="120"/>
      </w:pPr>
      <w:r>
        <w:rPr>
          <w:rFonts w:ascii="Arial" w:cs="Arial" w:eastAsia="Arial" w:hAnsi="Arial"/>
          <w:b/>
          <w:bCs/>
          <w:color w:val="2E75B6"/>
          <w:sz w:val="26"/>
          <w:szCs w:val="26"/>
        </w:rPr>
        <w:t xml:space="preserve">Module 7 — Historical Stress Analysis &amp; Factor Unwind Risk Scoring</w:t>
      </w:r>
    </w:p>
    <w:p>
      <w:pPr>
        <w:pStyle w:val="Heading3"/>
        <w:spacing w:before="200" w:after="100"/>
      </w:pPr>
      <w:r>
        <w:rPr>
          <w:rFonts w:ascii="Arial" w:cs="Arial" w:eastAsia="Arial" w:hAnsi="Arial"/>
          <w:b/>
          <w:bCs/>
          <w:color w:val="1A1A2E"/>
          <w:sz w:val="22"/>
          <w:szCs w:val="22"/>
        </w:rPr>
        <w:t xml:space="preserve">Key Historical Periods to Catalogue</w:t>
      </w:r>
    </w:p>
    <w:p>
      <w:pPr>
        <w:pStyle w:val="ListParagraph"/>
        <w:numPr>
          <w:ilvl w:val="0"/>
          <w:numId w:val="2"/>
        </w:numPr>
        <w:spacing w:before="40" w:after="40"/>
      </w:pPr>
      <w:r>
        <w:rPr>
          <w:rFonts w:ascii="Arial" w:cs="Arial" w:eastAsia="Arial" w:hAnsi="Arial"/>
          <w:b/>
          <w:bCs/>
          <w:color w:val="1A1A2E"/>
          <w:sz w:val="20"/>
          <w:szCs w:val="20"/>
        </w:rPr>
        <w:t xml:space="preserve">Aug 2007 — Quant quake</w:t>
      </w:r>
      <w:r>
        <w:rPr>
          <w:rFonts w:ascii="Arial" w:cs="Arial" w:eastAsia="Arial" w:hAnsi="Arial"/>
          <w:color w:val="333333"/>
          <w:sz w:val="20"/>
          <w:szCs w:val="20"/>
        </w:rPr>
        <w:t xml:space="preserve">: Simultaneous long/short unwind across stat-arb and factor strategies; momentum and value suffered severely</w:t>
      </w:r>
    </w:p>
    <w:p>
      <w:pPr>
        <w:pStyle w:val="ListParagraph"/>
        <w:numPr>
          <w:ilvl w:val="0"/>
          <w:numId w:val="2"/>
        </w:numPr>
        <w:spacing w:before="40" w:after="40"/>
      </w:pPr>
      <w:r>
        <w:rPr>
          <w:rFonts w:ascii="Arial" w:cs="Arial" w:eastAsia="Arial" w:hAnsi="Arial"/>
          <w:b/>
          <w:bCs/>
          <w:color w:val="1A1A2E"/>
          <w:sz w:val="20"/>
          <w:szCs w:val="20"/>
        </w:rPr>
        <w:t xml:space="preserve">Feb 2018 — Volmageddon</w:t>
      </w:r>
      <w:r>
        <w:rPr>
          <w:rFonts w:ascii="Arial" w:cs="Arial" w:eastAsia="Arial" w:hAnsi="Arial"/>
          <w:color w:val="333333"/>
          <w:sz w:val="20"/>
          <w:szCs w:val="20"/>
        </w:rPr>
        <w:t xml:space="preserve">: Short volatility crowding unwind; low-vol factor severely impacted</w:t>
      </w:r>
    </w:p>
    <w:p>
      <w:pPr>
        <w:pStyle w:val="ListParagraph"/>
        <w:numPr>
          <w:ilvl w:val="0"/>
          <w:numId w:val="2"/>
        </w:numPr>
        <w:spacing w:before="40" w:after="40"/>
      </w:pPr>
      <w:r>
        <w:rPr>
          <w:rFonts w:ascii="Arial" w:cs="Arial" w:eastAsia="Arial" w:hAnsi="Arial"/>
          <w:b/>
          <w:bCs/>
          <w:color w:val="1A1A2E"/>
          <w:sz w:val="20"/>
          <w:szCs w:val="20"/>
        </w:rPr>
        <w:t xml:space="preserve">Mar 2020 — COVID-19 onset</w:t>
      </w:r>
      <w:r>
        <w:rPr>
          <w:rFonts w:ascii="Arial" w:cs="Arial" w:eastAsia="Arial" w:hAnsi="Arial"/>
          <w:color w:val="333333"/>
          <w:sz w:val="20"/>
          <w:szCs w:val="20"/>
        </w:rPr>
        <w:t xml:space="preserve">: Indiscriminate deleveraging; quality/growth outperformed initially then reversed; liquidity premium spiked</w:t>
      </w:r>
    </w:p>
    <w:p>
      <w:pPr>
        <w:pStyle w:val="ListParagraph"/>
        <w:numPr>
          <w:ilvl w:val="0"/>
          <w:numId w:val="2"/>
        </w:numPr>
        <w:spacing w:before="40" w:after="40"/>
      </w:pPr>
      <w:r>
        <w:rPr>
          <w:rFonts w:ascii="Arial" w:cs="Arial" w:eastAsia="Arial" w:hAnsi="Arial"/>
          <w:b/>
          <w:bCs/>
          <w:color w:val="1A1A2E"/>
          <w:sz w:val="20"/>
          <w:szCs w:val="20"/>
        </w:rPr>
        <w:t xml:space="preserve">Sep 2022 — UK LDI crisis</w:t>
      </w:r>
      <w:r>
        <w:rPr>
          <w:rFonts w:ascii="Arial" w:cs="Arial" w:eastAsia="Arial" w:hAnsi="Arial"/>
          <w:color w:val="333333"/>
          <w:sz w:val="20"/>
          <w:szCs w:val="20"/>
        </w:rPr>
        <w:t xml:space="preserve">: Forced selling from UK pension funds; rate-sensitive sectors and long-duration assets hit</w:t>
      </w:r>
    </w:p>
    <w:p>
      <w:pPr>
        <w:pStyle w:val="ListParagraph"/>
        <w:numPr>
          <w:ilvl w:val="0"/>
          <w:numId w:val="2"/>
        </w:numPr>
        <w:spacing w:before="40" w:after="40"/>
      </w:pPr>
      <w:r>
        <w:rPr>
          <w:rFonts w:ascii="Arial" w:cs="Arial" w:eastAsia="Arial" w:hAnsi="Arial"/>
          <w:b/>
          <w:bCs/>
          <w:color w:val="1A1A2E"/>
          <w:sz w:val="20"/>
          <w:szCs w:val="20"/>
        </w:rPr>
        <w:t xml:space="preserve">2022 full year — Growth-to-value rotation</w:t>
      </w:r>
      <w:r>
        <w:rPr>
          <w:rFonts w:ascii="Arial" w:cs="Arial" w:eastAsia="Arial" w:hAnsi="Arial"/>
          <w:color w:val="333333"/>
          <w:sz w:val="20"/>
          <w:szCs w:val="20"/>
        </w:rPr>
        <w:t xml:space="preserve">: Prolonged unwind of long-growth/short-value positioning as rates rose rapidly</w:t>
      </w:r>
    </w:p>
    <w:p>
      <w:pPr>
        <w:pStyle w:val="ListParagraph"/>
        <w:numPr>
          <w:ilvl w:val="0"/>
          <w:numId w:val="2"/>
        </w:numPr>
        <w:spacing w:before="40" w:after="40"/>
      </w:pPr>
      <w:r>
        <w:rPr>
          <w:rFonts w:ascii="Arial" w:cs="Arial" w:eastAsia="Arial" w:hAnsi="Arial"/>
          <w:b/>
          <w:bCs/>
          <w:color w:val="1A1A2E"/>
          <w:sz w:val="20"/>
          <w:szCs w:val="20"/>
        </w:rPr>
        <w:t xml:space="preserve">Aug 2024 — Yen carry unwind</w:t>
      </w:r>
      <w:r>
        <w:rPr>
          <w:rFonts w:ascii="Arial" w:cs="Arial" w:eastAsia="Arial" w:hAnsi="Arial"/>
          <w:color w:val="333333"/>
          <w:sz w:val="20"/>
          <w:szCs w:val="20"/>
        </w:rPr>
        <w:t xml:space="preserve">: Rapid JPY appreciation triggered forced unwind of global carry trades; momentum and high-beta sold off</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Unwind Risk Score — Construction Methodology</w:t>
      </w:r>
    </w:p>
    <w:p>
      <w:pPr>
        <w:spacing w:before="60" w:after="60"/>
      </w:pPr>
      <w:r>
        <w:rPr>
          <w:rFonts w:ascii="Arial" w:cs="Arial" w:eastAsia="Arial" w:hAnsi="Arial"/>
          <w:color w:val="333333"/>
          <w:sz w:val="20"/>
          <w:szCs w:val="20"/>
        </w:rPr>
        <w:t xml:space="preserve">The risk score for each event type is a weighted composite of four components, scored 0–100:</w:t>
      </w:r>
    </w:p>
    <w:p>
      <w:pPr>
        <w:spacing w:before="100" w:after="1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800"/>
        <w:gridCol w:w="6360"/>
      </w:tblGrid>
      <w:tr>
        <w:tc>
          <w:tcPr>
            <w:tcW w:type="dxa" w:w="2200"/>
            <w:tcBorders>
              <w:top w:val="single" w:color="C0C0C0" w:sz="1"/>
              <w:left w:val="single" w:color="C0C0C0" w:sz="1"/>
              <w:bottom w:val="single" w:color="C0C0C0" w:sz="1"/>
              <w:right w:val="single" w:color="C0C0C0"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Component</w:t>
            </w:r>
          </w:p>
        </w:tc>
        <w:tc>
          <w:tcPr>
            <w:tcW w:type="dxa" w:w="800"/>
            <w:tcBorders>
              <w:top w:val="single" w:color="C0C0C0" w:sz="1"/>
              <w:left w:val="single" w:color="C0C0C0" w:sz="1"/>
              <w:bottom w:val="single" w:color="C0C0C0" w:sz="1"/>
              <w:right w:val="single" w:color="C0C0C0"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Weight</w:t>
            </w:r>
          </w:p>
        </w:tc>
        <w:tc>
          <w:tcPr>
            <w:tcW w:type="dxa" w:w="6360"/>
            <w:tcBorders>
              <w:top w:val="single" w:color="C0C0C0" w:sz="1"/>
              <w:left w:val="single" w:color="C0C0C0" w:sz="1"/>
              <w:bottom w:val="single" w:color="C0C0C0" w:sz="1"/>
              <w:right w:val="single" w:color="C0C0C0" w:sz="1"/>
            </w:tcBorders>
            <w:shd w:fill="2E75B6" w:val="clear"/>
            <w:tcMar>
              <w:top w:type="dxa" w:w="80"/>
              <w:left w:type="dxa" w:w="120"/>
              <w:bottom w:type="dxa" w:w="80"/>
              <w:right w:type="dxa" w:w="120"/>
            </w:tcMar>
          </w:tcPr>
          <w:p>
            <w:r>
              <w:rPr>
                <w:rFonts w:ascii="Arial" w:cs="Arial" w:eastAsia="Arial" w:hAnsi="Arial"/>
                <w:b/>
                <w:bCs/>
                <w:color w:val="FFFFFF"/>
                <w:sz w:val="18"/>
                <w:szCs w:val="18"/>
              </w:rPr>
              <w:t xml:space="preserve">Description</w:t>
            </w:r>
          </w:p>
        </w:tc>
      </w:tr>
      <w:tr>
        <w:tc>
          <w:tcPr>
            <w:tcW w:type="dxa" w:w="22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Factor Exposure Overlap</w:t>
            </w:r>
          </w:p>
        </w:tc>
        <w:tc>
          <w:tcPr>
            <w:tcW w:type="dxa" w:w="8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bCs/>
                <w:color w:val="333333"/>
                <w:sz w:val="18"/>
                <w:szCs w:val="18"/>
              </w:rPr>
              <w:t xml:space="preserve">40%</w:t>
            </w:r>
          </w:p>
        </w:tc>
        <w:tc>
          <w:tcPr>
            <w:tcW w:type="dxa" w:w="636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Cosine similarity between current factor tilt vector and pre-event factor tilt vector</w:t>
            </w:r>
          </w:p>
        </w:tc>
      </w:tr>
      <w:tr>
        <w:tc>
          <w:tcPr>
            <w:tcW w:type="dxa" w:w="22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Crowding Proxy</w:t>
            </w:r>
          </w:p>
        </w:tc>
        <w:tc>
          <w:tcPr>
            <w:tcW w:type="dxa" w:w="8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bCs/>
                <w:color w:val="333333"/>
                <w:sz w:val="18"/>
                <w:szCs w:val="18"/>
              </w:rPr>
              <w:t xml:space="preserve">25%</w:t>
            </w:r>
          </w:p>
        </w:tc>
        <w:tc>
          <w:tcPr>
            <w:tcW w:type="dxa" w:w="636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Concentration in factors/names that were crowded pre-event, using short interest, active weight, and flows data</w:t>
            </w:r>
          </w:p>
        </w:tc>
      </w:tr>
      <w:tr>
        <w:tc>
          <w:tcPr>
            <w:tcW w:type="dxa" w:w="22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Liquidity Score</w:t>
            </w:r>
          </w:p>
        </w:tc>
        <w:tc>
          <w:tcPr>
            <w:tcW w:type="dxa" w:w="8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bCs/>
                <w:color w:val="333333"/>
                <w:sz w:val="18"/>
                <w:szCs w:val="18"/>
              </w:rPr>
              <w:t xml:space="preserve">20%</w:t>
            </w:r>
          </w:p>
        </w:tc>
        <w:tc>
          <w:tcPr>
            <w:tcW w:type="dxa" w:w="636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Days-to-cover and ADV coverage of current positions vs. historical norms</w:t>
            </w:r>
          </w:p>
        </w:tc>
      </w:tr>
      <w:tr>
        <w:tc>
          <w:tcPr>
            <w:tcW w:type="dxa" w:w="22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Directional Alignment</w:t>
            </w:r>
          </w:p>
        </w:tc>
        <w:tc>
          <w:tcPr>
            <w:tcW w:type="dxa" w:w="8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bCs/>
                <w:color w:val="333333"/>
                <w:sz w:val="18"/>
                <w:szCs w:val="18"/>
              </w:rPr>
              <w:t xml:space="preserve">15%</w:t>
            </w:r>
          </w:p>
        </w:tc>
        <w:tc>
          <w:tcPr>
            <w:tcW w:type="dxa" w:w="636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Net directional exposure to factors that historically drove the unwind</w:t>
            </w:r>
          </w:p>
        </w:tc>
      </w:tr>
    </w:tbl>
    <w:p>
      <w:pPr>
        <w:spacing w:before="100" w:after="100"/>
      </w:pPr>
      <w:r>
        <w:t xml:space="preserve"/>
      </w:r>
    </w:p>
    <w:p>
      <w:pPr>
        <w:pStyle w:val="Heading3"/>
        <w:spacing w:before="200" w:after="100"/>
      </w:pPr>
      <w:r>
        <w:rPr>
          <w:rFonts w:ascii="Arial" w:cs="Arial" w:eastAsia="Arial" w:hAnsi="Arial"/>
          <w:b/>
          <w:bCs/>
          <w:color w:val="1A1A2E"/>
          <w:sz w:val="22"/>
          <w:szCs w:val="22"/>
        </w:rPr>
        <w:t xml:space="preserve">Sell-Side Commentary Integration</w:t>
      </w:r>
    </w:p>
    <w:p>
      <w:pPr>
        <w:pStyle w:val="ListParagraph"/>
        <w:numPr>
          <w:ilvl w:val="0"/>
          <w:numId w:val="2"/>
        </w:numPr>
        <w:spacing w:before="40" w:after="40"/>
      </w:pPr>
      <w:r>
        <w:rPr>
          <w:rFonts w:ascii="Arial" w:cs="Arial" w:eastAsia="Arial" w:hAnsi="Arial"/>
          <w:color w:val="333333"/>
          <w:sz w:val="20"/>
          <w:szCs w:val="20"/>
        </w:rPr>
        <w:t xml:space="preserve">Research notes ingested as structured documents with metadata tags (date, source, event tag, factor tags)</w:t>
      </w:r>
    </w:p>
    <w:p>
      <w:pPr>
        <w:pStyle w:val="ListParagraph"/>
        <w:numPr>
          <w:ilvl w:val="0"/>
          <w:numId w:val="2"/>
        </w:numPr>
        <w:spacing w:before="40" w:after="40"/>
      </w:pPr>
      <w:r>
        <w:rPr>
          <w:rFonts w:ascii="Arial" w:cs="Arial" w:eastAsia="Arial" w:hAnsi="Arial"/>
          <w:color w:val="333333"/>
          <w:sz w:val="20"/>
          <w:szCs w:val="20"/>
        </w:rPr>
        <w:t xml:space="preserve">Full-text search layer over the corpus for ad-hoc research queries</w:t>
      </w:r>
    </w:p>
    <w:p>
      <w:pPr>
        <w:pStyle w:val="ListParagraph"/>
        <w:numPr>
          <w:ilvl w:val="0"/>
          <w:numId w:val="2"/>
        </w:numPr>
        <w:spacing w:before="40" w:after="40"/>
      </w:pPr>
      <w:r>
        <w:rPr>
          <w:rFonts w:ascii="Arial" w:cs="Arial" w:eastAsia="Arial" w:hAnsi="Arial"/>
          <w:color w:val="333333"/>
          <w:sz w:val="20"/>
          <w:szCs w:val="20"/>
        </w:rPr>
        <w:t xml:space="preserve">Automatic surfacing of relevant commentary when risk score for an event type crosses a watch threshold</w:t>
      </w:r>
    </w:p>
    <w:p>
      <w:pPr>
        <w:pStyle w:val="ListParagraph"/>
        <w:numPr>
          <w:ilvl w:val="0"/>
          <w:numId w:val="2"/>
        </w:numPr>
        <w:spacing w:before="40" w:after="40"/>
      </w:pPr>
      <w:r>
        <w:rPr>
          <w:rFonts w:ascii="Arial" w:cs="Arial" w:eastAsia="Arial" w:hAnsi="Arial"/>
          <w:color w:val="333333"/>
          <w:sz w:val="20"/>
          <w:szCs w:val="20"/>
        </w:rPr>
        <w:t xml:space="preserve">Side-by-side view: quantitative factor moves (chart) + qualitative commentary (text) for each event period</w:t>
      </w:r>
    </w:p>
    <w:p>
      <w:pPr>
        <w:spacing w:before="100" w:after="100"/>
      </w:pPr>
      <w:r>
        <w:t xml:space="preserve"/>
      </w:r>
    </w:p>
    <w:p>
      <w:pPr>
        <w:pStyle w:val="Heading2"/>
        <w:spacing w:before="240" w:after="120"/>
      </w:pPr>
      <w:r>
        <w:rPr>
          <w:rFonts w:ascii="Arial" w:cs="Arial" w:eastAsia="Arial" w:hAnsi="Arial"/>
          <w:b/>
          <w:bCs/>
          <w:color w:val="2E75B6"/>
          <w:sz w:val="26"/>
          <w:szCs w:val="26"/>
        </w:rPr>
        <w:t xml:space="preserve">Module 8 — Institutional Journal, Research Repository &amp; AI Synthesis</w:t>
      </w:r>
    </w:p>
    <w:p>
      <w:pPr>
        <w:spacing w:before="60" w:after="60"/>
      </w:pPr>
      <w:r>
        <w:rPr>
          <w:rFonts w:ascii="Arial" w:cs="Arial" w:eastAsia="Arial" w:hAnsi="Arial"/>
          <w:color w:val="333333"/>
          <w:sz w:val="20"/>
          <w:szCs w:val="20"/>
        </w:rPr>
        <w:t xml:space="preserve">A unified knowledge base that combines hand-written journal entries with ingested external research. All content lives in the same corpus, shares the same tag structure, and is queryable through a single search interface and an AI synthesis layer. The system compounds in value over time — the more that is added, the more useful every query becomes.</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8.1 Institutional Journal</w:t>
      </w:r>
    </w:p>
    <w:p>
      <w:pPr>
        <w:spacing w:before="60" w:after="60"/>
      </w:pPr>
      <w:r>
        <w:rPr>
          <w:rFonts w:ascii="Arial" w:cs="Arial" w:eastAsia="Arial" w:hAnsi="Arial"/>
          <w:color w:val="333333"/>
          <w:sz w:val="20"/>
          <w:szCs w:val="20"/>
        </w:rPr>
        <w:t xml:space="preserve">A structured log of portfolio observations, decisions, and post-mortems. Entries are tagged with relevant factors, tickers, sectors, and themes. Designed for low-friction daily use — write what you observe, tag what's relevant, and let the retrieval layer do the work later.</w:t>
      </w:r>
    </w:p>
    <w:p>
      <w:pPr>
        <w:spacing w:before="100" w:after="100"/>
      </w:pPr>
      <w:r>
        <w:t xml:space="preserve"/>
      </w:r>
    </w:p>
    <w:p>
      <w:pPr>
        <w:pStyle w:val="ListParagraph"/>
        <w:numPr>
          <w:ilvl w:val="0"/>
          <w:numId w:val="2"/>
        </w:numPr>
        <w:spacing w:before="40" w:after="40"/>
      </w:pPr>
      <w:r>
        <w:rPr>
          <w:rFonts w:ascii="Arial" w:cs="Arial" w:eastAsia="Arial" w:hAnsi="Arial"/>
          <w:color w:val="333333"/>
          <w:sz w:val="20"/>
          <w:szCs w:val="20"/>
        </w:rPr>
        <w:t xml:space="preserve">entry_id — unique identifier (UUID)</w:t>
      </w:r>
    </w:p>
    <w:p>
      <w:pPr>
        <w:pStyle w:val="ListParagraph"/>
        <w:numPr>
          <w:ilvl w:val="0"/>
          <w:numId w:val="2"/>
        </w:numPr>
        <w:spacing w:before="40" w:after="40"/>
      </w:pPr>
      <w:r>
        <w:rPr>
          <w:rFonts w:ascii="Arial" w:cs="Arial" w:eastAsia="Arial" w:hAnsi="Arial"/>
          <w:color w:val="333333"/>
          <w:sz w:val="20"/>
          <w:szCs w:val="20"/>
        </w:rPr>
        <w:t xml:space="preserve">trading_date — date of the observation (not wall clock time)</w:t>
      </w:r>
    </w:p>
    <w:p>
      <w:pPr>
        <w:pStyle w:val="ListParagraph"/>
        <w:numPr>
          <w:ilvl w:val="0"/>
          <w:numId w:val="2"/>
        </w:numPr>
        <w:spacing w:before="40" w:after="40"/>
      </w:pPr>
      <w:r>
        <w:rPr>
          <w:rFonts w:ascii="Arial" w:cs="Arial" w:eastAsia="Arial" w:hAnsi="Arial"/>
          <w:color w:val="333333"/>
          <w:sz w:val="20"/>
          <w:szCs w:val="20"/>
        </w:rPr>
        <w:t xml:space="preserve">author — supports multi-user environments</w:t>
      </w:r>
    </w:p>
    <w:p>
      <w:pPr>
        <w:pStyle w:val="ListParagraph"/>
        <w:numPr>
          <w:ilvl w:val="0"/>
          <w:numId w:val="2"/>
        </w:numPr>
        <w:spacing w:before="40" w:after="40"/>
      </w:pPr>
      <w:r>
        <w:rPr>
          <w:rFonts w:ascii="Arial" w:cs="Arial" w:eastAsia="Arial" w:hAnsi="Arial"/>
          <w:color w:val="333333"/>
          <w:sz w:val="20"/>
          <w:szCs w:val="20"/>
        </w:rPr>
        <w:t xml:space="preserve">entry_type — Observation / Decision / Post-mortem / Hypothesis / Market note</w:t>
      </w:r>
    </w:p>
    <w:p>
      <w:pPr>
        <w:pStyle w:val="ListParagraph"/>
        <w:numPr>
          <w:ilvl w:val="0"/>
          <w:numId w:val="2"/>
        </w:numPr>
        <w:spacing w:before="40" w:after="40"/>
      </w:pPr>
      <w:r>
        <w:rPr>
          <w:rFonts w:ascii="Arial" w:cs="Arial" w:eastAsia="Arial" w:hAnsi="Arial"/>
          <w:color w:val="333333"/>
          <w:sz w:val="20"/>
          <w:szCs w:val="20"/>
        </w:rPr>
        <w:t xml:space="preserve">body — free text in markdown</w:t>
      </w:r>
    </w:p>
    <w:p>
      <w:pPr>
        <w:pStyle w:val="ListParagraph"/>
        <w:numPr>
          <w:ilvl w:val="0"/>
          <w:numId w:val="2"/>
        </w:numPr>
        <w:spacing w:before="40" w:after="40"/>
      </w:pPr>
      <w:r>
        <w:rPr>
          <w:rFonts w:ascii="Arial" w:cs="Arial" w:eastAsia="Arial" w:hAnsi="Arial"/>
          <w:color w:val="333333"/>
          <w:sz w:val="20"/>
          <w:szCs w:val="20"/>
        </w:rPr>
        <w:t xml:space="preserve">portfolio_snapshot_ref — foreign key to positions table for that date</w:t>
      </w:r>
    </w:p>
    <w:p>
      <w:pPr>
        <w:pStyle w:val="ListParagraph"/>
        <w:numPr>
          <w:ilvl w:val="0"/>
          <w:numId w:val="2"/>
        </w:numPr>
        <w:spacing w:before="40" w:after="40"/>
      </w:pPr>
      <w:r>
        <w:rPr>
          <w:rFonts w:ascii="Arial" w:cs="Arial" w:eastAsia="Arial" w:hAnsi="Arial"/>
          <w:color w:val="333333"/>
          <w:sz w:val="20"/>
          <w:szCs w:val="20"/>
        </w:rPr>
        <w:t xml:space="preserve">tags — factor / ticker / sector / theme / regime (normalised tag table)</w:t>
      </w:r>
    </w:p>
    <w:p>
      <w:pPr>
        <w:pStyle w:val="ListParagraph"/>
        <w:numPr>
          <w:ilvl w:val="0"/>
          <w:numId w:val="2"/>
        </w:numPr>
        <w:spacing w:before="40" w:after="40"/>
      </w:pPr>
      <w:r>
        <w:rPr>
          <w:rFonts w:ascii="Arial" w:cs="Arial" w:eastAsia="Arial" w:hAnsi="Arial"/>
          <w:color w:val="333333"/>
          <w:sz w:val="20"/>
          <w:szCs w:val="20"/>
        </w:rPr>
        <w:t xml:space="preserve">embedding — vector representation for semantic search (Phase 2)</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8.2 Research Repository</w:t>
      </w:r>
    </w:p>
    <w:p>
      <w:pPr>
        <w:spacing w:before="60" w:after="60"/>
      </w:pPr>
      <w:r>
        <w:rPr>
          <w:rFonts w:ascii="Arial" w:cs="Arial" w:eastAsia="Arial" w:hAnsi="Arial"/>
          <w:color w:val="333333"/>
          <w:sz w:val="20"/>
          <w:szCs w:val="20"/>
        </w:rPr>
        <w:t xml:space="preserve">A central store for all external and internal research documents. Supports four ingestion methods and a common metadata schema regardless of source type. Original files are preserved in Google Drive; extracted text and metadata live in the database for search and AI retrieval.</w:t>
      </w:r>
    </w:p>
    <w:p>
      <w:pPr>
        <w:spacing w:before="100" w:after="100"/>
      </w:pPr>
      <w:r>
        <w:t xml:space="preserve"/>
      </w:r>
    </w:p>
    <w:p>
      <w:pPr>
        <w:pStyle w:val="ListParagraph"/>
        <w:numPr>
          <w:ilvl w:val="0"/>
          <w:numId w:val="2"/>
        </w:numPr>
        <w:spacing w:before="40" w:after="40"/>
      </w:pPr>
      <w:r>
        <w:rPr>
          <w:rFonts w:ascii="Arial" w:cs="Arial" w:eastAsia="Arial" w:hAnsi="Arial"/>
          <w:b/>
          <w:bCs/>
          <w:color w:val="1A1A2E"/>
          <w:sz w:val="20"/>
          <w:szCs w:val="20"/>
        </w:rPr>
        <w:t xml:space="preserve">Document types</w:t>
      </w:r>
      <w:r>
        <w:rPr>
          <w:rFonts w:ascii="Arial" w:cs="Arial" w:eastAsia="Arial" w:hAnsi="Arial"/>
          <w:color w:val="333333"/>
          <w:sz w:val="20"/>
          <w:szCs w:val="20"/>
        </w:rPr>
        <w:t xml:space="preserve">: Sell-side research, expert network call transcripts (GLG, Tegus), earnings call transcripts, news / press clippings, internal memos, other</w:t>
      </w:r>
    </w:p>
    <w:p>
      <w:pPr>
        <w:pStyle w:val="ListParagraph"/>
        <w:numPr>
          <w:ilvl w:val="0"/>
          <w:numId w:val="2"/>
        </w:numPr>
        <w:spacing w:before="40" w:after="40"/>
      </w:pPr>
      <w:r>
        <w:rPr>
          <w:rFonts w:ascii="Arial" w:cs="Arial" w:eastAsia="Arial" w:hAnsi="Arial"/>
          <w:b/>
          <w:bCs/>
          <w:color w:val="1A1A2E"/>
          <w:sz w:val="20"/>
          <w:szCs w:val="20"/>
        </w:rPr>
        <w:t xml:space="preserve">Ingestion methods</w:t>
      </w:r>
      <w:r>
        <w:rPr>
          <w:rFonts w:ascii="Arial" w:cs="Arial" w:eastAsia="Arial" w:hAnsi="Arial"/>
          <w:color w:val="333333"/>
          <w:sz w:val="20"/>
          <w:szCs w:val="20"/>
        </w:rPr>
        <w:t xml:space="preserve">: Paste text directly, upload PDF (auto text extraction), upload .txt / .docx, fetch from URL (auto parse)</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8.2a File Storage — Google Drive</w:t>
      </w:r>
    </w:p>
    <w:p>
      <w:pPr>
        <w:spacing w:before="60" w:after="60"/>
      </w:pPr>
      <w:r>
        <w:rPr>
          <w:rFonts w:ascii="Arial" w:cs="Arial" w:eastAsia="Arial" w:hAnsi="Arial"/>
          <w:color w:val="333333"/>
          <w:sz w:val="20"/>
          <w:szCs w:val="20"/>
        </w:rPr>
        <w:t xml:space="preserve">Original files are stored in Google Drive under a standard folder structure. The database stores only extracted text and a reference back to the Drive file ID — keeping binary files out of the database while preserving the original document for re-reading, sharing, and re-processing.</w:t>
      </w:r>
    </w:p>
    <w:p>
      <w:pPr>
        <w:spacing w:before="100" w:after="100"/>
      </w:pPr>
      <w:r>
        <w:t xml:space="preserve"/>
      </w:r>
    </w:p>
    <w:p>
      <w:pPr>
        <w:pStyle w:val="ListParagraph"/>
        <w:numPr>
          <w:ilvl w:val="0"/>
          <w:numId w:val="2"/>
        </w:numPr>
        <w:spacing w:before="40" w:after="40"/>
      </w:pPr>
      <w:r>
        <w:rPr>
          <w:rFonts w:ascii="Arial" w:cs="Arial" w:eastAsia="Arial" w:hAnsi="Arial"/>
          <w:color w:val="333333"/>
          <w:sz w:val="20"/>
          <w:szCs w:val="20"/>
        </w:rPr>
        <w:t xml:space="preserve">Drive folder structure: EGC/Research/Sell-Side/, EGC/Research/Expert-Calls/, EGC/Research/Earnings-Transcripts/, EGC/Research/News/, EGC/Research/Internal/</w:t>
      </w:r>
    </w:p>
    <w:p>
      <w:pPr>
        <w:pStyle w:val="ListParagraph"/>
        <w:numPr>
          <w:ilvl w:val="0"/>
          <w:numId w:val="2"/>
        </w:numPr>
        <w:spacing w:before="40" w:after="40"/>
      </w:pPr>
      <w:r>
        <w:rPr>
          <w:rFonts w:ascii="Arial" w:cs="Arial" w:eastAsia="Arial" w:hAnsi="Arial"/>
          <w:color w:val="333333"/>
          <w:sz w:val="20"/>
          <w:szCs w:val="20"/>
        </w:rPr>
        <w:t xml:space="preserve">On upload: app extracts text → uploads original to Drive → stores Drive file_id and URL in database</w:t>
      </w:r>
    </w:p>
    <w:p>
      <w:pPr>
        <w:pStyle w:val="ListParagraph"/>
        <w:numPr>
          <w:ilvl w:val="0"/>
          <w:numId w:val="2"/>
        </w:numPr>
        <w:spacing w:before="40" w:after="40"/>
      </w:pPr>
      <w:r>
        <w:rPr>
          <w:rFonts w:ascii="Arial" w:cs="Arial" w:eastAsia="Arial" w:hAnsi="Arial"/>
          <w:color w:val="333333"/>
          <w:sz w:val="20"/>
          <w:szCs w:val="20"/>
        </w:rPr>
        <w:t xml:space="preserve">'View original' button in the app opens the Drive file directly in browser</w:t>
      </w:r>
    </w:p>
    <w:p>
      <w:pPr>
        <w:pStyle w:val="ListParagraph"/>
        <w:numPr>
          <w:ilvl w:val="0"/>
          <w:numId w:val="2"/>
        </w:numPr>
        <w:spacing w:before="40" w:after="40"/>
      </w:pPr>
      <w:r>
        <w:rPr>
          <w:rFonts w:ascii="Arial" w:cs="Arial" w:eastAsia="Arial" w:hAnsi="Arial"/>
          <w:color w:val="333333"/>
          <w:sz w:val="20"/>
          <w:szCs w:val="20"/>
        </w:rPr>
        <w:t xml:space="preserve">Drive API access via Google service account — same credentials used for BigQuery</w:t>
      </w:r>
    </w:p>
    <w:p>
      <w:pPr>
        <w:pStyle w:val="ListParagraph"/>
        <w:numPr>
          <w:ilvl w:val="0"/>
          <w:numId w:val="2"/>
        </w:numPr>
        <w:spacing w:before="40" w:after="40"/>
      </w:pPr>
      <w:r>
        <w:rPr>
          <w:rFonts w:ascii="Arial" w:cs="Arial" w:eastAsia="Arial" w:hAnsi="Arial"/>
          <w:color w:val="333333"/>
          <w:sz w:val="20"/>
          <w:szCs w:val="20"/>
        </w:rPr>
        <w:t xml:space="preserve">Pasted text: no Drive upload (no original file exists); body stored in database only</w:t>
      </w:r>
    </w:p>
    <w:p>
      <w:pPr>
        <w:spacing w:before="100" w:after="100"/>
      </w:pPr>
      <w:r>
        <w:t xml:space="preserve"/>
      </w:r>
    </w:p>
    <w:p>
      <w:pPr>
        <w:spacing w:before="60" w:after="60"/>
      </w:pPr>
      <w:r>
        <w:rPr>
          <w:rFonts w:ascii="Arial" w:cs="Arial" w:eastAsia="Arial" w:hAnsi="Arial"/>
          <w:color w:val="333333"/>
          <w:sz w:val="20"/>
          <w:szCs w:val="20"/>
        </w:rPr>
        <w:t xml:space="preserve">Document metadata schema:</w:t>
      </w:r>
    </w:p>
    <w:p>
      <w:pPr>
        <w:pStyle w:val="ListParagraph"/>
        <w:numPr>
          <w:ilvl w:val="0"/>
          <w:numId w:val="2"/>
        </w:numPr>
        <w:spacing w:before="40" w:after="40"/>
      </w:pPr>
      <w:r>
        <w:rPr>
          <w:rFonts w:ascii="Arial" w:cs="Arial" w:eastAsia="Arial" w:hAnsi="Arial"/>
          <w:color w:val="333333"/>
          <w:sz w:val="20"/>
          <w:szCs w:val="20"/>
        </w:rPr>
        <w:t xml:space="preserve">doc_id — UUID</w:t>
      </w:r>
    </w:p>
    <w:p>
      <w:pPr>
        <w:pStyle w:val="ListParagraph"/>
        <w:numPr>
          <w:ilvl w:val="0"/>
          <w:numId w:val="2"/>
        </w:numPr>
        <w:spacing w:before="40" w:after="40"/>
      </w:pPr>
      <w:r>
        <w:rPr>
          <w:rFonts w:ascii="Arial" w:cs="Arial" w:eastAsia="Arial" w:hAnsi="Arial"/>
          <w:color w:val="333333"/>
          <w:sz w:val="20"/>
          <w:szCs w:val="20"/>
        </w:rPr>
        <w:t xml:space="preserve">doc_type — sell-side / expert-call / earnings-call / news / internal / other</w:t>
      </w:r>
    </w:p>
    <w:p>
      <w:pPr>
        <w:pStyle w:val="ListParagraph"/>
        <w:numPr>
          <w:ilvl w:val="0"/>
          <w:numId w:val="2"/>
        </w:numPr>
        <w:spacing w:before="40" w:after="40"/>
      </w:pPr>
      <w:r>
        <w:rPr>
          <w:rFonts w:ascii="Arial" w:cs="Arial" w:eastAsia="Arial" w:hAnsi="Arial"/>
          <w:color w:val="333333"/>
          <w:sz w:val="20"/>
          <w:szCs w:val="20"/>
        </w:rPr>
        <w:t xml:space="preserve">title — e.g. 'Goldman Sachs — Energy Transition Outlook Q1 2026'</w:t>
      </w:r>
    </w:p>
    <w:p>
      <w:pPr>
        <w:pStyle w:val="ListParagraph"/>
        <w:numPr>
          <w:ilvl w:val="0"/>
          <w:numId w:val="2"/>
        </w:numPr>
        <w:spacing w:before="40" w:after="40"/>
      </w:pPr>
      <w:r>
        <w:rPr>
          <w:rFonts w:ascii="Arial" w:cs="Arial" w:eastAsia="Arial" w:hAnsi="Arial"/>
          <w:color w:val="333333"/>
          <w:sz w:val="20"/>
          <w:szCs w:val="20"/>
        </w:rPr>
        <w:t xml:space="preserve">source — e.g. Goldman Sachs, GLG, Tegus, Bloomberg</w:t>
      </w:r>
    </w:p>
    <w:p>
      <w:pPr>
        <w:pStyle w:val="ListParagraph"/>
        <w:numPr>
          <w:ilvl w:val="0"/>
          <w:numId w:val="2"/>
        </w:numPr>
        <w:spacing w:before="40" w:after="40"/>
      </w:pPr>
      <w:r>
        <w:rPr>
          <w:rFonts w:ascii="Arial" w:cs="Arial" w:eastAsia="Arial" w:hAnsi="Arial"/>
          <w:color w:val="333333"/>
          <w:sz w:val="20"/>
          <w:szCs w:val="20"/>
        </w:rPr>
        <w:t xml:space="preserve">author — analyst or speaker name</w:t>
      </w:r>
    </w:p>
    <w:p>
      <w:pPr>
        <w:pStyle w:val="ListParagraph"/>
        <w:numPr>
          <w:ilvl w:val="0"/>
          <w:numId w:val="2"/>
        </w:numPr>
        <w:spacing w:before="40" w:after="40"/>
      </w:pPr>
      <w:r>
        <w:rPr>
          <w:rFonts w:ascii="Arial" w:cs="Arial" w:eastAsia="Arial" w:hAnsi="Arial"/>
          <w:color w:val="333333"/>
          <w:sz w:val="20"/>
          <w:szCs w:val="20"/>
        </w:rPr>
        <w:t xml:space="preserve">published_date — date of the original document</w:t>
      </w:r>
    </w:p>
    <w:p>
      <w:pPr>
        <w:pStyle w:val="ListParagraph"/>
        <w:numPr>
          <w:ilvl w:val="0"/>
          <w:numId w:val="2"/>
        </w:numPr>
        <w:spacing w:before="40" w:after="40"/>
      </w:pPr>
      <w:r>
        <w:rPr>
          <w:rFonts w:ascii="Arial" w:cs="Arial" w:eastAsia="Arial" w:hAnsi="Arial"/>
          <w:color w:val="333333"/>
          <w:sz w:val="20"/>
          <w:szCs w:val="20"/>
        </w:rPr>
        <w:t xml:space="preserve">ingested_date — when added to the system</w:t>
      </w:r>
    </w:p>
    <w:p>
      <w:pPr>
        <w:pStyle w:val="ListParagraph"/>
        <w:numPr>
          <w:ilvl w:val="0"/>
          <w:numId w:val="2"/>
        </w:numPr>
        <w:spacing w:before="40" w:after="40"/>
      </w:pPr>
      <w:r>
        <w:rPr>
          <w:rFonts w:ascii="Arial" w:cs="Arial" w:eastAsia="Arial" w:hAnsi="Arial"/>
          <w:color w:val="333333"/>
          <w:sz w:val="20"/>
          <w:szCs w:val="20"/>
        </w:rPr>
        <w:t xml:space="preserve">body — full extracted text</w:t>
      </w:r>
    </w:p>
    <w:p>
      <w:pPr>
        <w:pStyle w:val="ListParagraph"/>
        <w:numPr>
          <w:ilvl w:val="0"/>
          <w:numId w:val="2"/>
        </w:numPr>
        <w:spacing w:before="40" w:after="40"/>
      </w:pPr>
      <w:r>
        <w:rPr>
          <w:rFonts w:ascii="Arial" w:cs="Arial" w:eastAsia="Arial" w:hAnsi="Arial"/>
          <w:color w:val="333333"/>
          <w:sz w:val="20"/>
          <w:szCs w:val="20"/>
        </w:rPr>
        <w:t xml:space="preserve">file_name — original filename if uploaded</w:t>
      </w:r>
    </w:p>
    <w:p>
      <w:pPr>
        <w:pStyle w:val="ListParagraph"/>
        <w:numPr>
          <w:ilvl w:val="0"/>
          <w:numId w:val="2"/>
        </w:numPr>
        <w:spacing w:before="40" w:after="40"/>
      </w:pPr>
      <w:r>
        <w:rPr>
          <w:rFonts w:ascii="Arial" w:cs="Arial" w:eastAsia="Arial" w:hAnsi="Arial"/>
          <w:color w:val="333333"/>
          <w:sz w:val="20"/>
          <w:szCs w:val="20"/>
        </w:rPr>
        <w:t xml:space="preserve">url — source URL if fetched</w:t>
      </w:r>
    </w:p>
    <w:p>
      <w:pPr>
        <w:pStyle w:val="ListParagraph"/>
        <w:numPr>
          <w:ilvl w:val="0"/>
          <w:numId w:val="2"/>
        </w:numPr>
        <w:spacing w:before="40" w:after="40"/>
      </w:pPr>
      <w:r>
        <w:rPr>
          <w:rFonts w:ascii="Arial" w:cs="Arial" w:eastAsia="Arial" w:hAnsi="Arial"/>
          <w:color w:val="333333"/>
          <w:sz w:val="20"/>
          <w:szCs w:val="20"/>
        </w:rPr>
        <w:t xml:space="preserve">drive_file_id — Google Drive file ID for original document</w:t>
      </w:r>
    </w:p>
    <w:p>
      <w:pPr>
        <w:pStyle w:val="ListParagraph"/>
        <w:numPr>
          <w:ilvl w:val="0"/>
          <w:numId w:val="2"/>
        </w:numPr>
        <w:spacing w:before="40" w:after="40"/>
      </w:pPr>
      <w:r>
        <w:rPr>
          <w:rFonts w:ascii="Arial" w:cs="Arial" w:eastAsia="Arial" w:hAnsi="Arial"/>
          <w:color w:val="333333"/>
          <w:sz w:val="20"/>
          <w:szCs w:val="20"/>
        </w:rPr>
        <w:t xml:space="preserve">drive_url — direct link to open original in Google Drive</w:t>
      </w:r>
    </w:p>
    <w:p>
      <w:pPr>
        <w:pStyle w:val="ListParagraph"/>
        <w:numPr>
          <w:ilvl w:val="0"/>
          <w:numId w:val="2"/>
        </w:numPr>
        <w:spacing w:before="40" w:after="40"/>
      </w:pPr>
      <w:r>
        <w:rPr>
          <w:rFonts w:ascii="Arial" w:cs="Arial" w:eastAsia="Arial" w:hAnsi="Arial"/>
          <w:color w:val="333333"/>
          <w:sz w:val="20"/>
          <w:szCs w:val="20"/>
        </w:rPr>
        <w:t xml:space="preserve">word_count — auto-computed on ingest</w:t>
      </w:r>
    </w:p>
    <w:p>
      <w:pPr>
        <w:pStyle w:val="ListParagraph"/>
        <w:numPr>
          <w:ilvl w:val="0"/>
          <w:numId w:val="2"/>
        </w:numPr>
        <w:spacing w:before="40" w:after="40"/>
      </w:pPr>
      <w:r>
        <w:rPr>
          <w:rFonts w:ascii="Arial" w:cs="Arial" w:eastAsia="Arial" w:hAnsi="Arial"/>
          <w:color w:val="333333"/>
          <w:sz w:val="20"/>
          <w:szCs w:val="20"/>
        </w:rPr>
        <w:t xml:space="preserve">tags — same structure as journal (ticker / factor / sector / theme)</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8.3 Unified Search</w:t>
      </w:r>
    </w:p>
    <w:p>
      <w:pPr>
        <w:spacing w:before="60" w:after="60"/>
      </w:pPr>
      <w:r>
        <w:rPr>
          <w:rFonts w:ascii="Arial" w:cs="Arial" w:eastAsia="Arial" w:hAnsi="Arial"/>
          <w:color w:val="333333"/>
          <w:sz w:val="20"/>
          <w:szCs w:val="20"/>
        </w:rPr>
        <w:t xml:space="preserve">A single search interface queries both journal entries and research documents simultaneously, with filters to narrow by source type, document type, date range, and tags.</w:t>
      </w:r>
    </w:p>
    <w:p>
      <w:pPr>
        <w:spacing w:before="100" w:after="100"/>
      </w:pPr>
      <w:r>
        <w:t xml:space="preserve"/>
      </w:r>
    </w:p>
    <w:p>
      <w:pPr>
        <w:pStyle w:val="ListParagraph"/>
        <w:numPr>
          <w:ilvl w:val="0"/>
          <w:numId w:val="2"/>
        </w:numPr>
        <w:spacing w:before="40" w:after="40"/>
      </w:pPr>
      <w:r>
        <w:rPr>
          <w:rFonts w:ascii="Arial" w:cs="Arial" w:eastAsia="Arial" w:hAnsi="Arial"/>
          <w:color w:val="333333"/>
          <w:sz w:val="20"/>
          <w:szCs w:val="20"/>
        </w:rPr>
        <w:t xml:space="preserve">Full-text search across journal_entries and research_documents in one query</w:t>
      </w:r>
    </w:p>
    <w:p>
      <w:pPr>
        <w:pStyle w:val="ListParagraph"/>
        <w:numPr>
          <w:ilvl w:val="0"/>
          <w:numId w:val="2"/>
        </w:numPr>
        <w:spacing w:before="40" w:after="40"/>
      </w:pPr>
      <w:r>
        <w:rPr>
          <w:rFonts w:ascii="Arial" w:cs="Arial" w:eastAsia="Arial" w:hAnsi="Arial"/>
          <w:color w:val="333333"/>
          <w:sz w:val="20"/>
          <w:szCs w:val="20"/>
        </w:rPr>
        <w:t xml:space="preserve">Source filter: All / Journal only / Research only</w:t>
      </w:r>
    </w:p>
    <w:p>
      <w:pPr>
        <w:pStyle w:val="ListParagraph"/>
        <w:numPr>
          <w:ilvl w:val="0"/>
          <w:numId w:val="2"/>
        </w:numPr>
        <w:spacing w:before="40" w:after="40"/>
      </w:pPr>
      <w:r>
        <w:rPr>
          <w:rFonts w:ascii="Arial" w:cs="Arial" w:eastAsia="Arial" w:hAnsi="Arial"/>
          <w:color w:val="333333"/>
          <w:sz w:val="20"/>
          <w:szCs w:val="20"/>
        </w:rPr>
        <w:t xml:space="preserve">Document type filter: sell-side / expert-call / earnings-call / etc.</w:t>
      </w:r>
    </w:p>
    <w:p>
      <w:pPr>
        <w:pStyle w:val="ListParagraph"/>
        <w:numPr>
          <w:ilvl w:val="0"/>
          <w:numId w:val="2"/>
        </w:numPr>
        <w:spacing w:before="40" w:after="40"/>
      </w:pPr>
      <w:r>
        <w:rPr>
          <w:rFonts w:ascii="Arial" w:cs="Arial" w:eastAsia="Arial" w:hAnsi="Arial"/>
          <w:color w:val="333333"/>
          <w:sz w:val="20"/>
          <w:szCs w:val="20"/>
        </w:rPr>
        <w:t xml:space="preserve">Date range, tag, and entry type filters carried over from journal search</w:t>
      </w:r>
    </w:p>
    <w:p>
      <w:pPr>
        <w:pStyle w:val="ListParagraph"/>
        <w:numPr>
          <w:ilvl w:val="0"/>
          <w:numId w:val="2"/>
        </w:numPr>
        <w:spacing w:before="40" w:after="40"/>
      </w:pPr>
      <w:r>
        <w:rPr>
          <w:rFonts w:ascii="Arial" w:cs="Arial" w:eastAsia="Arial" w:hAnsi="Arial"/>
          <w:color w:val="333333"/>
          <w:sz w:val="20"/>
          <w:szCs w:val="20"/>
        </w:rPr>
        <w:t xml:space="preserve">Results ranked by keyword relevance and recency</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8.4 AI Synthesis Interface</w:t>
      </w:r>
    </w:p>
    <w:p>
      <w:pPr>
        <w:spacing w:before="60" w:after="60"/>
      </w:pPr>
      <w:r>
        <w:rPr>
          <w:rFonts w:ascii="Arial" w:cs="Arial" w:eastAsia="Arial" w:hAnsi="Arial"/>
          <w:color w:val="333333"/>
          <w:sz w:val="20"/>
          <w:szCs w:val="20"/>
        </w:rPr>
        <w:t xml:space="preserve">A dedicated query interface where a question is answered by retrieving the most relevant documents from the corpus and passing them to Claude as context. The response is grounded in the actual content of the corpus with citations — not generated from training data alone.</w:t>
      </w:r>
    </w:p>
    <w:p>
      <w:pPr>
        <w:spacing w:before="100" w:after="100"/>
      </w:pPr>
      <w:r>
        <w:t xml:space="preserve"/>
      </w:r>
    </w:p>
    <w:p>
      <w:pPr>
        <w:spacing w:before="60" w:after="60"/>
      </w:pPr>
      <w:r>
        <w:rPr>
          <w:rFonts w:ascii="Arial" w:cs="Arial" w:eastAsia="Arial" w:hAnsi="Arial"/>
          <w:color w:val="333333"/>
          <w:sz w:val="20"/>
          <w:szCs w:val="20"/>
        </w:rPr>
        <w:t xml:space="preserve">Synthesis workflow:</w:t>
      </w:r>
    </w:p>
    <w:p>
      <w:pPr>
        <w:pStyle w:val="ListParagraph"/>
        <w:numPr>
          <w:ilvl w:val="0"/>
          <w:numId w:val="2"/>
        </w:numPr>
        <w:spacing w:before="40" w:after="40"/>
      </w:pPr>
      <w:r>
        <w:rPr>
          <w:rFonts w:ascii="Arial" w:cs="Arial" w:eastAsia="Arial" w:hAnsi="Arial"/>
          <w:color w:val="333333"/>
          <w:sz w:val="20"/>
          <w:szCs w:val="20"/>
        </w:rPr>
        <w:t xml:space="preserve">User types a natural language question (e.g. 'What does our research say about DVN's balance sheet risk?')</w:t>
      </w:r>
    </w:p>
    <w:p>
      <w:pPr>
        <w:pStyle w:val="ListParagraph"/>
        <w:numPr>
          <w:ilvl w:val="0"/>
          <w:numId w:val="2"/>
        </w:numPr>
        <w:spacing w:before="40" w:after="40"/>
      </w:pPr>
      <w:r>
        <w:rPr>
          <w:rFonts w:ascii="Arial" w:cs="Arial" w:eastAsia="Arial" w:hAnsi="Arial"/>
          <w:color w:val="333333"/>
          <w:sz w:val="20"/>
          <w:szCs w:val="20"/>
        </w:rPr>
        <w:t xml:space="preserve">Full-text search retrieves top 8 most relevant chunks from both journal and research corpus</w:t>
      </w:r>
    </w:p>
    <w:p>
      <w:pPr>
        <w:pStyle w:val="ListParagraph"/>
        <w:numPr>
          <w:ilvl w:val="0"/>
          <w:numId w:val="2"/>
        </w:numPr>
        <w:spacing w:before="40" w:after="40"/>
      </w:pPr>
      <w:r>
        <w:rPr>
          <w:rFonts w:ascii="Arial" w:cs="Arial" w:eastAsia="Arial" w:hAnsi="Arial"/>
          <w:color w:val="333333"/>
          <w:sz w:val="20"/>
          <w:szCs w:val="20"/>
        </w:rPr>
        <w:t xml:space="preserve">Retrieved documents passed to Claude API (claude-sonnet-4-20250514) with system prompt</w:t>
      </w:r>
    </w:p>
    <w:p>
      <w:pPr>
        <w:pStyle w:val="ListParagraph"/>
        <w:numPr>
          <w:ilvl w:val="0"/>
          <w:numId w:val="2"/>
        </w:numPr>
        <w:spacing w:before="40" w:after="40"/>
      </w:pPr>
      <w:r>
        <w:rPr>
          <w:rFonts w:ascii="Arial" w:cs="Arial" w:eastAsia="Arial" w:hAnsi="Arial"/>
          <w:color w:val="333333"/>
          <w:sz w:val="20"/>
          <w:szCs w:val="20"/>
        </w:rPr>
        <w:t xml:space="preserve">System prompt instructs: answer using only provided sources, cite each by title and date, flag contradictions between sources</w:t>
      </w:r>
    </w:p>
    <w:p>
      <w:pPr>
        <w:pStyle w:val="ListParagraph"/>
        <w:numPr>
          <w:ilvl w:val="0"/>
          <w:numId w:val="2"/>
        </w:numPr>
        <w:spacing w:before="40" w:after="40"/>
      </w:pPr>
      <w:r>
        <w:rPr>
          <w:rFonts w:ascii="Arial" w:cs="Arial" w:eastAsia="Arial" w:hAnsi="Arial"/>
          <w:color w:val="333333"/>
          <w:sz w:val="20"/>
          <w:szCs w:val="20"/>
        </w:rPr>
        <w:t xml:space="preserve">Response rendered with inline citations and source list</w:t>
      </w:r>
    </w:p>
    <w:p>
      <w:pPr>
        <w:pStyle w:val="ListParagraph"/>
        <w:numPr>
          <w:ilvl w:val="0"/>
          <w:numId w:val="2"/>
        </w:numPr>
        <w:spacing w:before="40" w:after="40"/>
      </w:pPr>
      <w:r>
        <w:rPr>
          <w:rFonts w:ascii="Arial" w:cs="Arial" w:eastAsia="Arial" w:hAnsi="Arial"/>
          <w:color w:val="333333"/>
          <w:sz w:val="20"/>
          <w:szCs w:val="20"/>
        </w:rPr>
        <w:t xml:space="preserve">Query and response saved to corpus_queries table for replay and audit</w:t>
      </w:r>
    </w:p>
    <w:p>
      <w:pPr>
        <w:spacing w:before="100" w:after="100"/>
      </w:pPr>
      <w:r>
        <w:t xml:space="preserve"/>
      </w:r>
    </w:p>
    <w:p>
      <w:pPr>
        <w:spacing w:before="60" w:after="60"/>
      </w:pPr>
      <w:r>
        <w:rPr>
          <w:rFonts w:ascii="Arial" w:cs="Arial" w:eastAsia="Arial" w:hAnsi="Arial"/>
          <w:color w:val="333333"/>
          <w:sz w:val="20"/>
          <w:szCs w:val="20"/>
        </w:rPr>
        <w:t xml:space="preserve">Example queries the synthesis layer handles:</w:t>
      </w:r>
    </w:p>
    <w:p>
      <w:pPr>
        <w:pStyle w:val="ListParagraph"/>
        <w:numPr>
          <w:ilvl w:val="0"/>
          <w:numId w:val="2"/>
        </w:numPr>
        <w:spacing w:before="40" w:after="40"/>
      </w:pPr>
      <w:r>
        <w:rPr>
          <w:rFonts w:ascii="Arial" w:cs="Arial" w:eastAsia="Arial" w:hAnsi="Arial"/>
          <w:color w:val="333333"/>
          <w:sz w:val="20"/>
          <w:szCs w:val="20"/>
        </w:rPr>
        <w:t xml:space="preserve">"Summarise all sell-side views on ALB from the last 6 months"</w:t>
      </w:r>
    </w:p>
    <w:p>
      <w:pPr>
        <w:pStyle w:val="ListParagraph"/>
        <w:numPr>
          <w:ilvl w:val="0"/>
          <w:numId w:val="2"/>
        </w:numPr>
        <w:spacing w:before="40" w:after="40"/>
      </w:pPr>
      <w:r>
        <w:rPr>
          <w:rFonts w:ascii="Arial" w:cs="Arial" w:eastAsia="Arial" w:hAnsi="Arial"/>
          <w:color w:val="333333"/>
          <w:sz w:val="20"/>
          <w:szCs w:val="20"/>
        </w:rPr>
        <w:t xml:space="preserve">"What have we previously observed about energy names with negative momentum and high LT Reversal?"</w:t>
      </w:r>
    </w:p>
    <w:p>
      <w:pPr>
        <w:pStyle w:val="ListParagraph"/>
        <w:numPr>
          <w:ilvl w:val="0"/>
          <w:numId w:val="2"/>
        </w:numPr>
        <w:spacing w:before="40" w:after="40"/>
      </w:pPr>
      <w:r>
        <w:rPr>
          <w:rFonts w:ascii="Arial" w:cs="Arial" w:eastAsia="Arial" w:hAnsi="Arial"/>
          <w:color w:val="333333"/>
          <w:sz w:val="20"/>
          <w:szCs w:val="20"/>
        </w:rPr>
        <w:t xml:space="preserve">"What does the expert network say about lithium supply dynamics versus what sell-side assumes?"</w:t>
      </w:r>
    </w:p>
    <w:p>
      <w:pPr>
        <w:pStyle w:val="ListParagraph"/>
        <w:numPr>
          <w:ilvl w:val="0"/>
          <w:numId w:val="2"/>
        </w:numPr>
        <w:spacing w:before="40" w:after="40"/>
      </w:pPr>
      <w:r>
        <w:rPr>
          <w:rFonts w:ascii="Arial" w:cs="Arial" w:eastAsia="Arial" w:hAnsi="Arial"/>
          <w:color w:val="333333"/>
          <w:sz w:val="20"/>
          <w:szCs w:val="20"/>
        </w:rPr>
        <w:t xml:space="preserve">"Contrast our internal observations on PLTR with what the earnings transcript said about growth outlook"</w:t>
      </w:r>
    </w:p>
    <w:p>
      <w:pPr>
        <w:spacing w:before="100" w:after="100"/>
      </w:pPr>
      <w:r>
        <w:t xml:space="preserve"/>
      </w:r>
    </w:p>
    <w:p>
      <w:pPr>
        <w:spacing w:before="100" w:after="100"/>
        <w:ind w:left="360"/>
      </w:pPr>
      <w:r>
        <w:rPr>
          <w:rFonts w:ascii="Arial" w:cs="Arial" w:eastAsia="Arial" w:hAnsi="Arial"/>
          <w:i/>
          <w:iCs/>
          <w:color w:val="666666"/>
          <w:sz w:val="18"/>
          <w:szCs w:val="18"/>
        </w:rPr>
        <w:t xml:space="preserve">Phase 1 uses keyword retrieval for synthesis context. Phase 2 upgrades to vector embedding retrieval (Vertex AI + BigQuery VECTOR_SEARCH) for semantic matching — significantly improving recall on conceptual questions.</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8.5 MVP Build Status</w:t>
      </w:r>
    </w:p>
    <w:p>
      <w:pPr>
        <w:spacing w:before="100" w:after="100"/>
        <w:ind w:left="360"/>
      </w:pPr>
      <w:r>
        <w:rPr>
          <w:rFonts w:ascii="Arial" w:cs="Arial" w:eastAsia="Arial" w:hAnsi="Arial"/>
          <w:i/>
          <w:iCs/>
          <w:color w:val="666666"/>
          <w:sz w:val="18"/>
          <w:szCs w:val="18"/>
        </w:rPr>
        <w:t xml:space="preserve">Journal MVP is live locally (Flask + SQLite). Research Repository and AI Synthesis are next build phase, extending the existing app.</w:t>
      </w:r>
    </w:p>
    <w:p>
      <w:pPr>
        <w:spacing w:before="100" w:after="100"/>
      </w:pPr>
      <w:r>
        <w:t xml:space="preserve"/>
      </w:r>
    </w:p>
    <w:p>
      <w:pPr>
        <w:pStyle w:val="ListParagraph"/>
        <w:numPr>
          <w:ilvl w:val="0"/>
          <w:numId w:val="2"/>
        </w:numPr>
        <w:spacing w:before="40" w:after="40"/>
      </w:pPr>
      <w:r>
        <w:rPr>
          <w:rFonts w:ascii="Arial" w:cs="Arial" w:eastAsia="Arial" w:hAnsi="Arial"/>
          <w:b/>
          <w:bCs/>
          <w:color w:val="1A1A2E"/>
          <w:sz w:val="20"/>
          <w:szCs w:val="20"/>
        </w:rPr>
        <w:t xml:space="preserve">Journal MVP (complete)</w:t>
      </w:r>
      <w:r>
        <w:rPr>
          <w:rFonts w:ascii="Arial" w:cs="Arial" w:eastAsia="Arial" w:hAnsi="Arial"/>
          <w:color w:val="333333"/>
          <w:sz w:val="20"/>
          <w:szCs w:val="20"/>
        </w:rPr>
        <w:t xml:space="preserve">: Flask + SQLite, entry form with tag toggles, dashboard, search, view/edit/delete</w:t>
      </w:r>
    </w:p>
    <w:p>
      <w:pPr>
        <w:pStyle w:val="ListParagraph"/>
        <w:numPr>
          <w:ilvl w:val="0"/>
          <w:numId w:val="2"/>
        </w:numPr>
        <w:spacing w:before="40" w:after="40"/>
      </w:pPr>
      <w:r>
        <w:rPr>
          <w:rFonts w:ascii="Arial" w:cs="Arial" w:eastAsia="Arial" w:hAnsi="Arial"/>
          <w:b/>
          <w:bCs/>
          <w:color w:val="1A1A2E"/>
          <w:sz w:val="20"/>
          <w:szCs w:val="20"/>
        </w:rPr>
        <w:t xml:space="preserve">Research Repository (next)</w:t>
      </w:r>
      <w:r>
        <w:rPr>
          <w:rFonts w:ascii="Arial" w:cs="Arial" w:eastAsia="Arial" w:hAnsi="Arial"/>
          <w:color w:val="333333"/>
          <w:sz w:val="20"/>
          <w:szCs w:val="20"/>
        </w:rPr>
        <w:t xml:space="preserve">: Document store tables, upload/paste/URL ingestion, PDF and .docx extraction, Google Drive file storage</w:t>
      </w:r>
    </w:p>
    <w:p>
      <w:pPr>
        <w:pStyle w:val="ListParagraph"/>
        <w:numPr>
          <w:ilvl w:val="0"/>
          <w:numId w:val="2"/>
        </w:numPr>
        <w:spacing w:before="40" w:after="40"/>
      </w:pPr>
      <w:r>
        <w:rPr>
          <w:rFonts w:ascii="Arial" w:cs="Arial" w:eastAsia="Arial" w:hAnsi="Arial"/>
          <w:b/>
          <w:bCs/>
          <w:color w:val="1A1A2E"/>
          <w:sz w:val="20"/>
          <w:szCs w:val="20"/>
        </w:rPr>
        <w:t xml:space="preserve">Unified Search (next)</w:t>
      </w:r>
      <w:r>
        <w:rPr>
          <w:rFonts w:ascii="Arial" w:cs="Arial" w:eastAsia="Arial" w:hAnsi="Arial"/>
          <w:color w:val="333333"/>
          <w:sz w:val="20"/>
          <w:szCs w:val="20"/>
        </w:rPr>
        <w:t xml:space="preserve">: Extend /search to query both tables, add source and doc_type filters</w:t>
      </w:r>
    </w:p>
    <w:p>
      <w:pPr>
        <w:pStyle w:val="ListParagraph"/>
        <w:numPr>
          <w:ilvl w:val="0"/>
          <w:numId w:val="2"/>
        </w:numPr>
        <w:spacing w:before="40" w:after="40"/>
      </w:pPr>
      <w:r>
        <w:rPr>
          <w:rFonts w:ascii="Arial" w:cs="Arial" w:eastAsia="Arial" w:hAnsi="Arial"/>
          <w:b/>
          <w:bCs/>
          <w:color w:val="1A1A2E"/>
          <w:sz w:val="20"/>
          <w:szCs w:val="20"/>
        </w:rPr>
        <w:t xml:space="preserve">AI Synthesis (next)</w:t>
      </w:r>
      <w:r>
        <w:rPr>
          <w:rFonts w:ascii="Arial" w:cs="Arial" w:eastAsia="Arial" w:hAnsi="Arial"/>
          <w:color w:val="333333"/>
          <w:sz w:val="20"/>
          <w:szCs w:val="20"/>
        </w:rPr>
        <w:t xml:space="preserve">: New /synthesize route, Claude API integration via ANTHROPIC_API_KEY, citation rendering</w:t>
      </w:r>
    </w:p>
    <w:p>
      <w:pPr>
        <w:pStyle w:val="ListParagraph"/>
        <w:numPr>
          <w:ilvl w:val="0"/>
          <w:numId w:val="2"/>
        </w:numPr>
        <w:spacing w:before="40" w:after="40"/>
      </w:pPr>
      <w:r>
        <w:rPr>
          <w:rFonts w:ascii="Arial" w:cs="Arial" w:eastAsia="Arial" w:hAnsi="Arial"/>
          <w:b/>
          <w:bCs/>
          <w:color w:val="1A1A2E"/>
          <w:sz w:val="20"/>
          <w:szCs w:val="20"/>
        </w:rPr>
        <w:t xml:space="preserve">Google Cloud setup (prerequisite)</w:t>
      </w:r>
      <w:r>
        <w:rPr>
          <w:rFonts w:ascii="Arial" w:cs="Arial" w:eastAsia="Arial" w:hAnsi="Arial"/>
          <w:color w:val="333333"/>
          <w:sz w:val="20"/>
          <w:szCs w:val="20"/>
        </w:rPr>
        <w:t xml:space="preserve">: GCP project under will@energygroupcapital.com, service account, Drive API + BigQuery API enabled</w:t>
      </w:r>
    </w:p>
    <w:p>
      <w:pPr>
        <w:pStyle w:val="ListParagraph"/>
        <w:numPr>
          <w:ilvl w:val="0"/>
          <w:numId w:val="2"/>
        </w:numPr>
        <w:spacing w:before="40" w:after="40"/>
      </w:pPr>
      <w:r>
        <w:rPr>
          <w:rFonts w:ascii="Arial" w:cs="Arial" w:eastAsia="Arial" w:hAnsi="Arial"/>
          <w:b/>
          <w:bCs/>
          <w:color w:val="1A1A2E"/>
          <w:sz w:val="20"/>
          <w:szCs w:val="20"/>
        </w:rPr>
        <w:t xml:space="preserve">BigQuery migration (Phase 2)</w:t>
      </w:r>
      <w:r>
        <w:rPr>
          <w:rFonts w:ascii="Arial" w:cs="Arial" w:eastAsia="Arial" w:hAnsi="Arial"/>
          <w:color w:val="333333"/>
          <w:sz w:val="20"/>
          <w:szCs w:val="20"/>
        </w:rPr>
        <w:t xml:space="preserve">: Swap SQLite data layer for BigQuery, ~10 line change in app.py</w:t>
      </w:r>
    </w:p>
    <w:p>
      <w:pPr>
        <w:pStyle w:val="ListParagraph"/>
        <w:numPr>
          <w:ilvl w:val="0"/>
          <w:numId w:val="2"/>
        </w:numPr>
        <w:spacing w:before="40" w:after="40"/>
      </w:pPr>
      <w:r>
        <w:rPr>
          <w:rFonts w:ascii="Arial" w:cs="Arial" w:eastAsia="Arial" w:hAnsi="Arial"/>
          <w:b/>
          <w:bCs/>
          <w:color w:val="1A1A2E"/>
          <w:sz w:val="20"/>
          <w:szCs w:val="20"/>
        </w:rPr>
        <w:t xml:space="preserve">Vector embeddings (Phase 2)</w:t>
      </w:r>
      <w:r>
        <w:rPr>
          <w:rFonts w:ascii="Arial" w:cs="Arial" w:eastAsia="Arial" w:hAnsi="Arial"/>
          <w:color w:val="333333"/>
          <w:sz w:val="20"/>
          <w:szCs w:val="20"/>
        </w:rPr>
        <w:t xml:space="preserve">: Vertex AI embeddings on save, VECTOR_SEARCH() for semantic synthesis retrieval</w:t>
      </w:r>
    </w:p>
    <w:p>
      <w:pPr>
        <w:spacing w:before="100" w:after="100"/>
      </w:pPr>
      <w:r>
        <w:t xml:space="preserve"/>
      </w:r>
    </w:p>
    <w:p>
      <w:pPr>
        <w:pStyle w:val="Heading1"/>
        <w:pBdr>
          <w:bottom w:val="single" w:color="2E75B6" w:sz="8" w:space="4"/>
        </w:pBdr>
        <w:spacing w:before="320" w:after="160"/>
      </w:pPr>
      <w:r>
        <w:rPr>
          <w:rFonts w:ascii="Arial" w:cs="Arial" w:eastAsia="Arial" w:hAnsi="Arial"/>
          <w:b/>
          <w:bCs/>
          <w:color w:val="1F4E79"/>
          <w:sz w:val="32"/>
          <w:szCs w:val="32"/>
        </w:rPr>
        <w:t xml:space="preserve">4. Data Infrastructure</w:t>
      </w:r>
    </w:p>
    <w:p>
      <w:pPr>
        <w:pStyle w:val="Heading2"/>
        <w:spacing w:before="240" w:after="120"/>
      </w:pPr>
      <w:r>
        <w:rPr>
          <w:rFonts w:ascii="Arial" w:cs="Arial" w:eastAsia="Arial" w:hAnsi="Arial"/>
          <w:b/>
          <w:bCs/>
          <w:color w:val="2E75B6"/>
          <w:sz w:val="26"/>
          <w:szCs w:val="26"/>
        </w:rPr>
        <w:t xml:space="preserve">4.1 Google BigQuery as Central Data Store</w:t>
      </w:r>
    </w:p>
    <w:p>
      <w:pPr>
        <w:spacing w:before="60" w:after="60"/>
      </w:pPr>
      <w:r>
        <w:rPr>
          <w:rFonts w:ascii="Arial" w:cs="Arial" w:eastAsia="Arial" w:hAnsi="Arial"/>
          <w:color w:val="333333"/>
          <w:sz w:val="20"/>
          <w:szCs w:val="20"/>
        </w:rPr>
        <w:t xml:space="preserve">BigQuery will serve as the primary data warehouse for all portfolio and market data. The platform will query BigQuery directly for all analytical and monitoring functions.</w:t>
      </w:r>
    </w:p>
    <w:p>
      <w:pPr>
        <w:spacing w:before="100" w:after="100"/>
      </w:pPr>
      <w:r>
        <w:t xml:space="preserve"/>
      </w:r>
    </w:p>
    <w:p>
      <w:pPr>
        <w:pStyle w:val="ListParagraph"/>
        <w:numPr>
          <w:ilvl w:val="0"/>
          <w:numId w:val="2"/>
        </w:numPr>
        <w:spacing w:before="40" w:after="40"/>
      </w:pPr>
      <w:r>
        <w:rPr>
          <w:rFonts w:ascii="Arial" w:cs="Arial" w:eastAsia="Arial" w:hAnsi="Arial"/>
          <w:color w:val="333333"/>
          <w:sz w:val="20"/>
          <w:szCs w:val="20"/>
        </w:rPr>
        <w:t xml:space="preserve">Portfolio data: daily positions, weights, P&amp;L, trade blotter, exposure history</w:t>
      </w:r>
    </w:p>
    <w:p>
      <w:pPr>
        <w:pStyle w:val="ListParagraph"/>
        <w:numPr>
          <w:ilvl w:val="0"/>
          <w:numId w:val="2"/>
        </w:numPr>
        <w:spacing w:before="40" w:after="40"/>
      </w:pPr>
      <w:r>
        <w:rPr>
          <w:rFonts w:ascii="Arial" w:cs="Arial" w:eastAsia="Arial" w:hAnsi="Arial"/>
          <w:color w:val="333333"/>
          <w:sz w:val="20"/>
          <w:szCs w:val="20"/>
        </w:rPr>
        <w:t xml:space="preserve">Market data: prices, returns, factor returns, benchmark data</w:t>
      </w:r>
    </w:p>
    <w:p>
      <w:pPr>
        <w:pStyle w:val="ListParagraph"/>
        <w:numPr>
          <w:ilvl w:val="0"/>
          <w:numId w:val="2"/>
        </w:numPr>
        <w:spacing w:before="40" w:after="40"/>
      </w:pPr>
      <w:r>
        <w:rPr>
          <w:rFonts w:ascii="Arial" w:cs="Arial" w:eastAsia="Arial" w:hAnsi="Arial"/>
          <w:color w:val="333333"/>
          <w:sz w:val="20"/>
          <w:szCs w:val="20"/>
        </w:rPr>
        <w:t xml:space="preserve">Reference data: company metadata, GICS sector classifications, index constituents</w:t>
      </w:r>
    </w:p>
    <w:p>
      <w:pPr>
        <w:pStyle w:val="ListParagraph"/>
        <w:numPr>
          <w:ilvl w:val="0"/>
          <w:numId w:val="2"/>
        </w:numPr>
        <w:spacing w:before="40" w:after="40"/>
      </w:pPr>
      <w:r>
        <w:rPr>
          <w:rFonts w:ascii="Arial" w:cs="Arial" w:eastAsia="Arial" w:hAnsi="Arial"/>
          <w:color w:val="333333"/>
          <w:sz w:val="20"/>
          <w:szCs w:val="20"/>
        </w:rPr>
        <w:t xml:space="preserve">Derived data: pre-computed risk metrics, attribution outputs, regime classifications</w:t>
      </w:r>
    </w:p>
    <w:p>
      <w:pPr>
        <w:pStyle w:val="ListParagraph"/>
        <w:numPr>
          <w:ilvl w:val="0"/>
          <w:numId w:val="2"/>
        </w:numPr>
        <w:spacing w:before="40" w:after="40"/>
      </w:pPr>
      <w:r>
        <w:rPr>
          <w:rFonts w:ascii="Arial" w:cs="Arial" w:eastAsia="Arial" w:hAnsi="Arial"/>
          <w:color w:val="333333"/>
          <w:sz w:val="20"/>
          <w:szCs w:val="20"/>
        </w:rPr>
        <w:t xml:space="preserve">Journal data: structured observation log with vector embeddings for semantic retrieval</w:t>
      </w:r>
    </w:p>
    <w:p>
      <w:pPr>
        <w:spacing w:before="100" w:after="100"/>
      </w:pPr>
      <w:r>
        <w:t xml:space="preserve"/>
      </w:r>
    </w:p>
    <w:p>
      <w:pPr>
        <w:pStyle w:val="Heading2"/>
        <w:spacing w:before="240" w:after="120"/>
      </w:pPr>
      <w:r>
        <w:rPr>
          <w:rFonts w:ascii="Arial" w:cs="Arial" w:eastAsia="Arial" w:hAnsi="Arial"/>
          <w:b/>
          <w:bCs/>
          <w:color w:val="2E75B6"/>
          <w:sz w:val="26"/>
          <w:szCs w:val="26"/>
        </w:rPr>
        <w:t xml:space="preserve">4.2 Complete BigQuery Table Schema</w:t>
      </w:r>
    </w:p>
    <w:p>
      <w:pPr>
        <w:spacing w:before="60" w:after="60"/>
      </w:pPr>
      <w:r>
        <w:rPr>
          <w:rFonts w:ascii="Arial" w:cs="Arial" w:eastAsia="Arial" w:hAnsi="Arial"/>
          <w:color w:val="333333"/>
          <w:sz w:val="20"/>
          <w:szCs w:val="20"/>
        </w:rPr>
        <w:t xml:space="preserve">All tables are organised into logical dataset namespaces. Append-only patterns are used wherever audit trail integrity matters.</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portfolio — Position &amp; Trade Data</w:t>
      </w:r>
    </w:p>
    <w:p>
      <w:pPr>
        <w:pStyle w:val="ListParagraph"/>
        <w:numPr>
          <w:ilvl w:val="0"/>
          <w:numId w:val="2"/>
        </w:numPr>
        <w:spacing w:before="40" w:after="40"/>
      </w:pPr>
      <w:r>
        <w:rPr>
          <w:rFonts w:ascii="Arial" w:cs="Arial" w:eastAsia="Arial" w:hAnsi="Arial"/>
          <w:color w:val="333333"/>
          <w:sz w:val="20"/>
          <w:szCs w:val="20"/>
        </w:rPr>
        <w:t xml:space="preserve">portfolio.positions — daily EOD snapshot of all long/short positions: ticker, ISIN, name, sector, quantity, price, market_value, weight_pct, eff_weight_pct, side, currency, fx_rate, report_date</w:t>
      </w:r>
    </w:p>
    <w:p>
      <w:pPr>
        <w:pStyle w:val="ListParagraph"/>
        <w:numPr>
          <w:ilvl w:val="0"/>
          <w:numId w:val="2"/>
        </w:numPr>
        <w:spacing w:before="40" w:after="40"/>
      </w:pPr>
      <w:r>
        <w:rPr>
          <w:rFonts w:ascii="Arial" w:cs="Arial" w:eastAsia="Arial" w:hAnsi="Arial"/>
          <w:color w:val="333333"/>
          <w:sz w:val="20"/>
          <w:szCs w:val="20"/>
        </w:rPr>
        <w:t xml:space="preserve">portfolio.trades — trade blotter: trade_id, ticker, direction (buy/sell/short/cover), quantity, decision_price, execution_price, eod_price, timestamp, strategy_rationale, trader</w:t>
      </w:r>
    </w:p>
    <w:p>
      <w:pPr>
        <w:pStyle w:val="ListParagraph"/>
        <w:numPr>
          <w:ilvl w:val="0"/>
          <w:numId w:val="2"/>
        </w:numPr>
        <w:spacing w:before="40" w:after="40"/>
      </w:pPr>
      <w:r>
        <w:rPr>
          <w:rFonts w:ascii="Arial" w:cs="Arial" w:eastAsia="Arial" w:hAnsi="Arial"/>
          <w:color w:val="333333"/>
          <w:sz w:val="20"/>
          <w:szCs w:val="20"/>
        </w:rPr>
        <w:t xml:space="preserve">portfolio.returns — daily P&amp;L: ticker, gross_pnl, net_pnl, pnl_attribution_type (factor/sector/specific), report_date</w:t>
      </w:r>
    </w:p>
    <w:p>
      <w:pPr>
        <w:pStyle w:val="ListParagraph"/>
        <w:numPr>
          <w:ilvl w:val="0"/>
          <w:numId w:val="2"/>
        </w:numPr>
        <w:spacing w:before="40" w:after="40"/>
      </w:pPr>
      <w:r>
        <w:rPr>
          <w:rFonts w:ascii="Arial" w:cs="Arial" w:eastAsia="Arial" w:hAnsi="Arial"/>
          <w:color w:val="333333"/>
          <w:sz w:val="20"/>
          <w:szCs w:val="20"/>
        </w:rPr>
        <w:t xml:space="preserve">portfolio.nav — daily NAV and gross/net exposure: gross_exposure_pct, net_exposure_pct, nav, report_date</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market — Prices &amp; Factor Data</w:t>
      </w:r>
    </w:p>
    <w:p>
      <w:pPr>
        <w:pStyle w:val="ListParagraph"/>
        <w:numPr>
          <w:ilvl w:val="0"/>
          <w:numId w:val="2"/>
        </w:numPr>
        <w:spacing w:before="40" w:after="40"/>
      </w:pPr>
      <w:r>
        <w:rPr>
          <w:rFonts w:ascii="Arial" w:cs="Arial" w:eastAsia="Arial" w:hAnsi="Arial"/>
          <w:color w:val="333333"/>
          <w:sz w:val="20"/>
          <w:szCs w:val="20"/>
        </w:rPr>
        <w:t xml:space="preserve">market.prices — daily OHLCV: ticker, open, high, low, close, volume, adjusted_close, report_date</w:t>
      </w:r>
    </w:p>
    <w:p>
      <w:pPr>
        <w:pStyle w:val="ListParagraph"/>
        <w:numPr>
          <w:ilvl w:val="0"/>
          <w:numId w:val="2"/>
        </w:numPr>
        <w:spacing w:before="40" w:after="40"/>
      </w:pPr>
      <w:r>
        <w:rPr>
          <w:rFonts w:ascii="Arial" w:cs="Arial" w:eastAsia="Arial" w:hAnsi="Arial"/>
          <w:color w:val="333333"/>
          <w:sz w:val="20"/>
          <w:szCs w:val="20"/>
        </w:rPr>
        <w:t xml:space="preserve">market.factor_returns — daily returns for all MSCI Barra style and industry factors: factor_name, factor_return, factor_volatility, report_date</w:t>
      </w:r>
    </w:p>
    <w:p>
      <w:pPr>
        <w:pStyle w:val="ListParagraph"/>
        <w:numPr>
          <w:ilvl w:val="0"/>
          <w:numId w:val="2"/>
        </w:numPr>
        <w:spacing w:before="40" w:after="40"/>
      </w:pPr>
      <w:r>
        <w:rPr>
          <w:rFonts w:ascii="Arial" w:cs="Arial" w:eastAsia="Arial" w:hAnsi="Arial"/>
          <w:color w:val="333333"/>
          <w:sz w:val="20"/>
          <w:szCs w:val="20"/>
        </w:rPr>
        <w:t xml:space="preserve">market.benchmark_returns — benchmark daily returns: benchmark_id (SPY/XLE/etc.), return, report_date</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risk — Exposures &amp; Constraints</w:t>
      </w:r>
    </w:p>
    <w:p>
      <w:pPr>
        <w:pStyle w:val="ListParagraph"/>
        <w:numPr>
          <w:ilvl w:val="0"/>
          <w:numId w:val="2"/>
        </w:numPr>
        <w:spacing w:before="40" w:after="40"/>
      </w:pPr>
      <w:r>
        <w:rPr>
          <w:rFonts w:ascii="Arial" w:cs="Arial" w:eastAsia="Arial" w:hAnsi="Arial"/>
          <w:color w:val="333333"/>
          <w:sz w:val="20"/>
          <w:szCs w:val="20"/>
        </w:rPr>
        <w:t xml:space="preserve">risk.exposures — daily factor and sector exposures per position: ticker, factor_name, exposure, weighted_exposure, report_date</w:t>
      </w:r>
    </w:p>
    <w:p>
      <w:pPr>
        <w:pStyle w:val="ListParagraph"/>
        <w:numPr>
          <w:ilvl w:val="0"/>
          <w:numId w:val="2"/>
        </w:numPr>
        <w:spacing w:before="40" w:after="40"/>
      </w:pPr>
      <w:r>
        <w:rPr>
          <w:rFonts w:ascii="Arial" w:cs="Arial" w:eastAsia="Arial" w:hAnsi="Arial"/>
          <w:color w:val="333333"/>
          <w:sz w:val="20"/>
          <w:szCs w:val="20"/>
        </w:rPr>
        <w:t xml:space="preserve">risk.portfolio_exposures — portfolio-level aggregated exposures: factor_name, long_exposure, short_exposure, net_exposure, report_date</w:t>
      </w:r>
    </w:p>
    <w:p>
      <w:pPr>
        <w:pStyle w:val="ListParagraph"/>
        <w:numPr>
          <w:ilvl w:val="0"/>
          <w:numId w:val="2"/>
        </w:numPr>
        <w:spacing w:before="40" w:after="40"/>
      </w:pPr>
      <w:r>
        <w:rPr>
          <w:rFonts w:ascii="Arial" w:cs="Arial" w:eastAsia="Arial" w:hAnsi="Arial"/>
          <w:color w:val="333333"/>
          <w:sz w:val="20"/>
          <w:szCs w:val="20"/>
        </w:rPr>
        <w:t xml:space="preserve">risk.constraints — constraint definitions: constraint_id, name, type (hard/soft), threshold_value, breach_direction (above/below), alert_recipients</w:t>
      </w:r>
    </w:p>
    <w:p>
      <w:pPr>
        <w:pStyle w:val="ListParagraph"/>
        <w:numPr>
          <w:ilvl w:val="0"/>
          <w:numId w:val="2"/>
        </w:numPr>
        <w:spacing w:before="40" w:after="40"/>
      </w:pPr>
      <w:r>
        <w:rPr>
          <w:rFonts w:ascii="Arial" w:cs="Arial" w:eastAsia="Arial" w:hAnsi="Arial"/>
          <w:color w:val="333333"/>
          <w:sz w:val="20"/>
          <w:szCs w:val="20"/>
        </w:rPr>
        <w:t xml:space="preserve">risk.constraint_log — daily constraint status: constraint_id, current_value, status (ok/watch/breach), breach_magnitude, report_date</w:t>
      </w:r>
    </w:p>
    <w:p>
      <w:pPr>
        <w:pStyle w:val="ListParagraph"/>
        <w:numPr>
          <w:ilvl w:val="0"/>
          <w:numId w:val="2"/>
        </w:numPr>
        <w:spacing w:before="40" w:after="40"/>
      </w:pPr>
      <w:r>
        <w:rPr>
          <w:rFonts w:ascii="Arial" w:cs="Arial" w:eastAsia="Arial" w:hAnsi="Arial"/>
          <w:color w:val="333333"/>
          <w:sz w:val="20"/>
          <w:szCs w:val="20"/>
        </w:rPr>
        <w:t xml:space="preserve">risk.unwind_scores — daily factor unwind risk scores by event type: event_id, score_0_100, component_scores (JSON), report_date</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macro — Regime &amp; External Data</w:t>
      </w:r>
    </w:p>
    <w:p>
      <w:pPr>
        <w:pStyle w:val="ListParagraph"/>
        <w:numPr>
          <w:ilvl w:val="0"/>
          <w:numId w:val="2"/>
        </w:numPr>
        <w:spacing w:before="40" w:after="40"/>
      </w:pPr>
      <w:r>
        <w:rPr>
          <w:rFonts w:ascii="Arial" w:cs="Arial" w:eastAsia="Arial" w:hAnsi="Arial"/>
          <w:color w:val="333333"/>
          <w:sz w:val="20"/>
          <w:szCs w:val="20"/>
        </w:rPr>
        <w:t xml:space="preserve">macro.regimes — daily regime classification: regime_label, momentum_environment, vol_environment, factor_leadership, confidence_score, report_date</w:t>
      </w:r>
    </w:p>
    <w:p>
      <w:pPr>
        <w:pStyle w:val="ListParagraph"/>
        <w:numPr>
          <w:ilvl w:val="0"/>
          <w:numId w:val="2"/>
        </w:numPr>
        <w:spacing w:before="40" w:after="40"/>
      </w:pPr>
      <w:r>
        <w:rPr>
          <w:rFonts w:ascii="Arial" w:cs="Arial" w:eastAsia="Arial" w:hAnsi="Arial"/>
          <w:color w:val="333333"/>
          <w:sz w:val="20"/>
          <w:szCs w:val="20"/>
        </w:rPr>
        <w:t xml:space="preserve">macro.prediction_markets — event probabilities from Polymarket/Kalshi: event_id, event_description, probability, source, timestamp</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journal — Institutional Memory</w:t>
      </w:r>
    </w:p>
    <w:p>
      <w:pPr>
        <w:pStyle w:val="ListParagraph"/>
        <w:numPr>
          <w:ilvl w:val="0"/>
          <w:numId w:val="2"/>
        </w:numPr>
        <w:spacing w:before="40" w:after="40"/>
      </w:pPr>
      <w:r>
        <w:rPr>
          <w:rFonts w:ascii="Arial" w:cs="Arial" w:eastAsia="Arial" w:hAnsi="Arial"/>
          <w:color w:val="333333"/>
          <w:sz w:val="20"/>
          <w:szCs w:val="20"/>
        </w:rPr>
        <w:t xml:space="preserve">journal.entries — core entry table: entry_id (STRING, UUID), trading_date (DATE), author (STRING), entry_type (STRING: observation/decision/post-mortem/hypothesis/market_note), body (STRING, markdown), portfolio_snapshot_date (DATE, FK to portfolio.positions), created_at (TIMESTAMP), updated_at (TIMESTAMP)</w:t>
      </w:r>
    </w:p>
    <w:p>
      <w:pPr>
        <w:pStyle w:val="ListParagraph"/>
        <w:numPr>
          <w:ilvl w:val="0"/>
          <w:numId w:val="2"/>
        </w:numPr>
        <w:spacing w:before="40" w:after="40"/>
      </w:pPr>
      <w:r>
        <w:rPr>
          <w:rFonts w:ascii="Arial" w:cs="Arial" w:eastAsia="Arial" w:hAnsi="Arial"/>
          <w:color w:val="333333"/>
          <w:sz w:val="20"/>
          <w:szCs w:val="20"/>
        </w:rPr>
        <w:t xml:space="preserve">journal.entry_tags — normalised tag table: entry_id, tag_type (factor/ticker/sector/theme/regime), tag_value — allows flexible multi-value tagging without array columns</w:t>
      </w:r>
    </w:p>
    <w:p>
      <w:pPr>
        <w:pStyle w:val="ListParagraph"/>
        <w:numPr>
          <w:ilvl w:val="0"/>
          <w:numId w:val="2"/>
        </w:numPr>
        <w:spacing w:before="40" w:after="40"/>
      </w:pPr>
      <w:r>
        <w:rPr>
          <w:rFonts w:ascii="Arial" w:cs="Arial" w:eastAsia="Arial" w:hAnsi="Arial"/>
          <w:color w:val="333333"/>
          <w:sz w:val="20"/>
          <w:szCs w:val="20"/>
        </w:rPr>
        <w:t xml:space="preserve">journal.entry_embeddings — vector store: entry_id, embedding (ARRAY&lt;FLOAT64&gt;, 768-dim), model_version, embedded_at — kept separate from entries table for query efficiency</w:t>
      </w:r>
    </w:p>
    <w:p>
      <w:pPr>
        <w:pStyle w:val="ListParagraph"/>
        <w:numPr>
          <w:ilvl w:val="0"/>
          <w:numId w:val="2"/>
        </w:numPr>
        <w:spacing w:before="40" w:after="40"/>
      </w:pPr>
      <w:r>
        <w:rPr>
          <w:rFonts w:ascii="Arial" w:cs="Arial" w:eastAsia="Arial" w:hAnsi="Arial"/>
          <w:color w:val="333333"/>
          <w:sz w:val="20"/>
          <w:szCs w:val="20"/>
        </w:rPr>
        <w:t xml:space="preserve">journal.entry_links — related entry graph: entry_id, linked_entry_id, link_type (follow-up/contradicts/supports/related)</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research — Research Repository</w:t>
      </w:r>
    </w:p>
    <w:p>
      <w:pPr>
        <w:pStyle w:val="ListParagraph"/>
        <w:numPr>
          <w:ilvl w:val="0"/>
          <w:numId w:val="2"/>
        </w:numPr>
        <w:spacing w:before="40" w:after="40"/>
      </w:pPr>
      <w:r>
        <w:rPr>
          <w:rFonts w:ascii="Arial" w:cs="Arial" w:eastAsia="Arial" w:hAnsi="Arial"/>
          <w:color w:val="333333"/>
          <w:sz w:val="20"/>
          <w:szCs w:val="20"/>
        </w:rPr>
        <w:t xml:space="preserve">research.documents — core document table: doc_id (STRING, UUID), doc_type (STRING), title (STRING), source (STRING), author (STRING), published_date (DATE), ingested_date (TIMESTAMP), body (STRING, full extracted text), file_name (STRING), url (STRING), drive_file_id (STRING), drive_url (STRING), word_count (INT64), created_at (TIMESTAMP)</w:t>
      </w:r>
    </w:p>
    <w:p>
      <w:pPr>
        <w:pStyle w:val="ListParagraph"/>
        <w:numPr>
          <w:ilvl w:val="0"/>
          <w:numId w:val="2"/>
        </w:numPr>
        <w:spacing w:before="40" w:after="40"/>
      </w:pPr>
      <w:r>
        <w:rPr>
          <w:rFonts w:ascii="Arial" w:cs="Arial" w:eastAsia="Arial" w:hAnsi="Arial"/>
          <w:color w:val="333333"/>
          <w:sz w:val="20"/>
          <w:szCs w:val="20"/>
        </w:rPr>
        <w:t xml:space="preserve">research.document_tags — normalised tag table: doc_id, tag_type (factor/ticker/sector/theme), tag_value — identical structure to journal.entry_tags</w:t>
      </w:r>
    </w:p>
    <w:p>
      <w:pPr>
        <w:pStyle w:val="ListParagraph"/>
        <w:numPr>
          <w:ilvl w:val="0"/>
          <w:numId w:val="2"/>
        </w:numPr>
        <w:spacing w:before="40" w:after="40"/>
      </w:pPr>
      <w:r>
        <w:rPr>
          <w:rFonts w:ascii="Arial" w:cs="Arial" w:eastAsia="Arial" w:hAnsi="Arial"/>
          <w:color w:val="333333"/>
          <w:sz w:val="20"/>
          <w:szCs w:val="20"/>
        </w:rPr>
        <w:t xml:space="preserve">research.document_embeddings — vector store: doc_id, embedding (ARRAY&lt;FLOAT64&gt;, 768-dim), model_version, embedded_at</w:t>
      </w:r>
    </w:p>
    <w:p>
      <w:pPr>
        <w:pStyle w:val="ListParagraph"/>
        <w:numPr>
          <w:ilvl w:val="0"/>
          <w:numId w:val="2"/>
        </w:numPr>
        <w:spacing w:before="40" w:after="40"/>
      </w:pPr>
      <w:r>
        <w:rPr>
          <w:rFonts w:ascii="Arial" w:cs="Arial" w:eastAsia="Arial" w:hAnsi="Arial"/>
          <w:color w:val="333333"/>
          <w:sz w:val="20"/>
          <w:szCs w:val="20"/>
        </w:rPr>
        <w:t xml:space="preserve">research.corpus_queries — saved synthesis queries: query_id (UUID), question (STRING), answer (STRING), sources_used (JSON array of doc_ids and entry_ids), model_version, created_at</w:t>
      </w:r>
    </w:p>
    <w:p>
      <w:pPr>
        <w:spacing w:before="100" w:after="100"/>
      </w:pPr>
      <w:r>
        <w:t xml:space="preserve"/>
      </w:r>
    </w:p>
    <w:p>
      <w:pPr>
        <w:pStyle w:val="Heading3"/>
        <w:spacing w:before="200" w:after="100"/>
      </w:pPr>
      <w:r>
        <w:rPr>
          <w:rFonts w:ascii="Arial" w:cs="Arial" w:eastAsia="Arial" w:hAnsi="Arial"/>
          <w:b/>
          <w:bCs/>
          <w:color w:val="1A1A2E"/>
          <w:sz w:val="22"/>
          <w:szCs w:val="22"/>
        </w:rPr>
        <w:t xml:space="preserve">journal — Institutional Journal</w:t>
      </w:r>
    </w:p>
    <w:p>
      <w:pPr>
        <w:spacing w:before="100" w:after="100"/>
      </w:pPr>
      <w:r>
        <w:t xml:space="preserve"/>
      </w:r>
    </w:p>
    <w:p>
      <w:pPr>
        <w:pStyle w:val="Heading2"/>
        <w:spacing w:before="240" w:after="120"/>
      </w:pPr>
      <w:r>
        <w:rPr>
          <w:rFonts w:ascii="Arial" w:cs="Arial" w:eastAsia="Arial" w:hAnsi="Arial"/>
          <w:b/>
          <w:bCs/>
          <w:color w:val="2E75B6"/>
          <w:sz w:val="26"/>
          <w:szCs w:val="26"/>
        </w:rPr>
        <w:t xml:space="preserve">4.3 External Connections</w:t>
      </w:r>
    </w:p>
    <w:p>
      <w:pPr>
        <w:pStyle w:val="ListParagraph"/>
        <w:numPr>
          <w:ilvl w:val="0"/>
          <w:numId w:val="2"/>
        </w:numPr>
        <w:spacing w:before="40" w:after="40"/>
      </w:pPr>
      <w:r>
        <w:rPr>
          <w:rFonts w:ascii="Arial" w:cs="Arial" w:eastAsia="Arial" w:hAnsi="Arial"/>
          <w:color w:val="333333"/>
          <w:sz w:val="20"/>
          <w:szCs w:val="20"/>
        </w:rPr>
        <w:t xml:space="preserve">Google Drive API — original file storage for research repository; same service account as BigQuery</w:t>
      </w:r>
    </w:p>
    <w:p>
      <w:pPr>
        <w:pStyle w:val="ListParagraph"/>
        <w:numPr>
          <w:ilvl w:val="0"/>
          <w:numId w:val="2"/>
        </w:numPr>
        <w:spacing w:before="40" w:after="40"/>
      </w:pPr>
      <w:r>
        <w:rPr>
          <w:rFonts w:ascii="Arial" w:cs="Arial" w:eastAsia="Arial" w:hAnsi="Arial"/>
          <w:color w:val="333333"/>
          <w:sz w:val="20"/>
          <w:szCs w:val="20"/>
        </w:rPr>
        <w:t xml:space="preserve">Anthropic Claude API — AI synthesis layer for research corpus queries (claude-sonnet-4-20250514)</w:t>
      </w:r>
    </w:p>
    <w:p>
      <w:pPr>
        <w:pStyle w:val="ListParagraph"/>
        <w:numPr>
          <w:ilvl w:val="0"/>
          <w:numId w:val="2"/>
        </w:numPr>
        <w:spacing w:before="40" w:after="40"/>
      </w:pPr>
      <w:r>
        <w:rPr>
          <w:rFonts w:ascii="Arial" w:cs="Arial" w:eastAsia="Arial" w:hAnsi="Arial"/>
          <w:color w:val="333333"/>
          <w:sz w:val="20"/>
          <w:szCs w:val="20"/>
        </w:rPr>
        <w:t xml:space="preserve">Vertex AI — Gemini embedding model for journal and research document embeddings (Phase 2)</w:t>
      </w:r>
    </w:p>
    <w:p>
      <w:pPr>
        <w:pStyle w:val="ListParagraph"/>
        <w:numPr>
          <w:ilvl w:val="0"/>
          <w:numId w:val="2"/>
        </w:numPr>
        <w:spacing w:before="40" w:after="40"/>
      </w:pPr>
      <w:r>
        <w:rPr>
          <w:rFonts w:ascii="Arial" w:cs="Arial" w:eastAsia="Arial" w:hAnsi="Arial"/>
          <w:color w:val="333333"/>
          <w:sz w:val="20"/>
          <w:szCs w:val="20"/>
        </w:rPr>
        <w:t xml:space="preserve">Prediction market APIs: Polymarket, Kalshi (Phase 2)</w:t>
      </w:r>
    </w:p>
    <w:p>
      <w:pPr>
        <w:pStyle w:val="ListParagraph"/>
        <w:numPr>
          <w:ilvl w:val="0"/>
          <w:numId w:val="2"/>
        </w:numPr>
        <w:spacing w:before="40" w:after="40"/>
      </w:pPr>
      <w:r>
        <w:rPr>
          <w:rFonts w:ascii="Arial" w:cs="Arial" w:eastAsia="Arial" w:hAnsi="Arial"/>
          <w:color w:val="333333"/>
          <w:sz w:val="20"/>
          <w:szCs w:val="20"/>
        </w:rPr>
        <w:t xml:space="preserve">Factor data: AQR data library, Ken French data library, Bloomberg factor series</w:t>
      </w:r>
    </w:p>
    <w:p>
      <w:pPr>
        <w:pStyle w:val="ListParagraph"/>
        <w:numPr>
          <w:ilvl w:val="0"/>
          <w:numId w:val="2"/>
        </w:numPr>
        <w:spacing w:before="40" w:after="40"/>
      </w:pPr>
      <w:r>
        <w:rPr>
          <w:rFonts w:ascii="Arial" w:cs="Arial" w:eastAsia="Arial" w:hAnsi="Arial"/>
          <w:color w:val="333333"/>
          <w:sz w:val="20"/>
          <w:szCs w:val="20"/>
        </w:rPr>
        <w:t xml:space="preserve">Macro data: FRED, Bloomberg macro series</w:t>
      </w:r>
    </w:p>
    <w:p>
      <w:pPr>
        <w:spacing w:before="100" w:after="100"/>
      </w:pPr>
      <w:r>
        <w:t xml:space="preserve"/>
      </w:r>
    </w:p>
    <w:p>
      <w:pPr>
        <w:pStyle w:val="Heading2"/>
        <w:spacing w:before="240" w:after="120"/>
      </w:pPr>
      <w:r>
        <w:rPr>
          <w:rFonts w:ascii="Arial" w:cs="Arial" w:eastAsia="Arial" w:hAnsi="Arial"/>
          <w:b/>
          <w:bCs/>
          <w:color w:val="2E75B6"/>
          <w:sz w:val="26"/>
          <w:szCs w:val="26"/>
        </w:rPr>
        <w:t xml:space="preserve">4.4 Google Cloud Setup — Required Credentials</w:t>
      </w:r>
    </w:p>
    <w:p>
      <w:pPr>
        <w:spacing w:before="60" w:after="60"/>
      </w:pPr>
      <w:r>
        <w:rPr>
          <w:rFonts w:ascii="Arial" w:cs="Arial" w:eastAsia="Arial" w:hAnsi="Arial"/>
          <w:color w:val="333333"/>
          <w:sz w:val="20"/>
          <w:szCs w:val="20"/>
        </w:rPr>
        <w:t xml:space="preserve">All Google Cloud services (BigQuery, Drive API, Vertex AI) share a single service account under the EGC Google Cloud project. The same credentials file (JSON key) covers all three services.</w:t>
      </w:r>
    </w:p>
    <w:p>
      <w:pPr>
        <w:spacing w:before="100" w:after="100"/>
      </w:pPr>
      <w:r>
        <w:t xml:space="preserve"/>
      </w:r>
    </w:p>
    <w:p>
      <w:pPr>
        <w:pStyle w:val="ListParagraph"/>
        <w:numPr>
          <w:ilvl w:val="0"/>
          <w:numId w:val="2"/>
        </w:numPr>
        <w:spacing w:before="40" w:after="40"/>
      </w:pPr>
      <w:r>
        <w:rPr>
          <w:rFonts w:ascii="Arial" w:cs="Arial" w:eastAsia="Arial" w:hAnsi="Arial"/>
          <w:color w:val="333333"/>
          <w:sz w:val="20"/>
          <w:szCs w:val="20"/>
        </w:rPr>
        <w:t xml:space="preserve">GCP Project: create at console.cloud.google.com under will@energygroupcapital.com</w:t>
      </w:r>
    </w:p>
    <w:p>
      <w:pPr>
        <w:pStyle w:val="ListParagraph"/>
        <w:numPr>
          <w:ilvl w:val="0"/>
          <w:numId w:val="2"/>
        </w:numPr>
        <w:spacing w:before="40" w:after="40"/>
      </w:pPr>
      <w:r>
        <w:rPr>
          <w:rFonts w:ascii="Arial" w:cs="Arial" w:eastAsia="Arial" w:hAnsi="Arial"/>
          <w:color w:val="333333"/>
          <w:sz w:val="20"/>
          <w:szCs w:val="20"/>
        </w:rPr>
        <w:t xml:space="preserve">Service account: create with roles — BigQuery Admin, Drive API access, Vertex AI User</w:t>
      </w:r>
    </w:p>
    <w:p>
      <w:pPr>
        <w:pStyle w:val="ListParagraph"/>
        <w:numPr>
          <w:ilvl w:val="0"/>
          <w:numId w:val="2"/>
        </w:numPr>
        <w:spacing w:before="40" w:after="40"/>
      </w:pPr>
      <w:r>
        <w:rPr>
          <w:rFonts w:ascii="Arial" w:cs="Arial" w:eastAsia="Arial" w:hAnsi="Arial"/>
          <w:color w:val="333333"/>
          <w:sz w:val="20"/>
          <w:szCs w:val="20"/>
        </w:rPr>
        <w:t xml:space="preserve">APIs to enable: BigQuery API, Google Drive API, Vertex AI API</w:t>
      </w:r>
    </w:p>
    <w:p>
      <w:pPr>
        <w:pStyle w:val="ListParagraph"/>
        <w:numPr>
          <w:ilvl w:val="0"/>
          <w:numId w:val="2"/>
        </w:numPr>
        <w:spacing w:before="40" w:after="40"/>
      </w:pPr>
      <w:r>
        <w:rPr>
          <w:rFonts w:ascii="Arial" w:cs="Arial" w:eastAsia="Arial" w:hAnsi="Arial"/>
          <w:color w:val="333333"/>
          <w:sz w:val="20"/>
          <w:szCs w:val="20"/>
        </w:rPr>
        <w:t xml:space="preserve">Credentials: download JSON key, store at ~/egc/credentials/egc-service-account.json</w:t>
      </w:r>
    </w:p>
    <w:p>
      <w:pPr>
        <w:pStyle w:val="ListParagraph"/>
        <w:numPr>
          <w:ilvl w:val="0"/>
          <w:numId w:val="2"/>
        </w:numPr>
        <w:spacing w:before="40" w:after="40"/>
      </w:pPr>
      <w:r>
        <w:rPr>
          <w:rFonts w:ascii="Arial" w:cs="Arial" w:eastAsia="Arial" w:hAnsi="Arial"/>
          <w:color w:val="333333"/>
          <w:sz w:val="20"/>
          <w:szCs w:val="20"/>
        </w:rPr>
        <w:t xml:space="preserve">Environment variable: GOOGLE_APPLICATION_CREDENTIALS=~/egc/credentials/egc-service-account.json</w:t>
      </w:r>
    </w:p>
    <w:p>
      <w:pPr>
        <w:pStyle w:val="ListParagraph"/>
        <w:numPr>
          <w:ilvl w:val="0"/>
          <w:numId w:val="2"/>
        </w:numPr>
        <w:spacing w:before="40" w:after="40"/>
      </w:pPr>
      <w:r>
        <w:rPr>
          <w:rFonts w:ascii="Arial" w:cs="Arial" w:eastAsia="Arial" w:hAnsi="Arial"/>
          <w:color w:val="333333"/>
          <w:sz w:val="20"/>
          <w:szCs w:val="20"/>
        </w:rPr>
        <w:t xml:space="preserve">Drive folder: create EGC/Research/ folder structure, share with service account email</w:t>
      </w:r>
    </w:p>
    <w:p>
      <w:pPr>
        <w:spacing w:before="100" w:after="100"/>
      </w:pPr>
      <w:r>
        <w:t xml:space="preserve"/>
      </w:r>
    </w:p>
    <w:p>
      <w:pPr>
        <w:pStyle w:val="Heading1"/>
        <w:pBdr>
          <w:bottom w:val="single" w:color="2E75B6" w:sz="8" w:space="4"/>
        </w:pBdr>
        <w:spacing w:before="320" w:after="160"/>
      </w:pPr>
      <w:r>
        <w:rPr>
          <w:rFonts w:ascii="Arial" w:cs="Arial" w:eastAsia="Arial" w:hAnsi="Arial"/>
          <w:b/>
          <w:bCs/>
          <w:color w:val="1F4E79"/>
          <w:sz w:val="32"/>
          <w:szCs w:val="32"/>
        </w:rPr>
        <w:t xml:space="preserve">5. Implementation Roadmap</w:t>
      </w:r>
    </w:p>
    <w:p>
      <w:pPr>
        <w:spacing w:before="60" w:after="60"/>
      </w:pPr>
      <w:r>
        <w:rPr>
          <w:rFonts w:ascii="Arial" w:cs="Arial" w:eastAsia="Arial" w:hAnsi="Arial"/>
          <w:color w:val="333333"/>
          <w:sz w:val="20"/>
          <w:szCs w:val="20"/>
        </w:rPr>
        <w:t xml:space="preserve">The platform will be built in phases, prioritising operational risk monitoring first before expanding into analytics, research, and external signal capabilities.</w:t>
      </w:r>
    </w:p>
    <w:p>
      <w:pPr>
        <w:spacing w:before="100" w:after="1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00"/>
        <w:gridCol w:w="1400"/>
        <w:gridCol w:w="2400"/>
        <w:gridCol w:w="4660"/>
      </w:tblGrid>
      <w:tr>
        <w:tc>
          <w:tcPr>
            <w:tcW w:type="dxa" w:w="900"/>
            <w:tcBorders>
              <w:top w:val="single" w:color="C0C0C0" w:sz="1"/>
              <w:left w:val="single" w:color="C0C0C0" w:sz="1"/>
              <w:bottom w:val="single" w:color="C0C0C0" w:sz="1"/>
              <w:right w:val="single" w:color="C0C0C0" w:sz="1"/>
            </w:tcBorders>
            <w:shd w:fill="1F4E79" w:val="clear"/>
            <w:tcMar>
              <w:top w:type="dxa" w:w="80"/>
              <w:left w:type="dxa" w:w="120"/>
              <w:bottom w:type="dxa" w:w="80"/>
              <w:right w:type="dxa" w:w="120"/>
            </w:tcMar>
          </w:tcPr>
          <w:p>
            <w:r>
              <w:rPr>
                <w:rFonts w:ascii="Arial" w:cs="Arial" w:eastAsia="Arial" w:hAnsi="Arial"/>
                <w:b/>
                <w:bCs/>
                <w:color w:val="FFFFFF"/>
                <w:sz w:val="18"/>
                <w:szCs w:val="18"/>
              </w:rPr>
              <w:t xml:space="preserve">Phase</w:t>
            </w:r>
          </w:p>
        </w:tc>
        <w:tc>
          <w:tcPr>
            <w:tcW w:type="dxa" w:w="1400"/>
            <w:tcBorders>
              <w:top w:val="single" w:color="C0C0C0" w:sz="1"/>
              <w:left w:val="single" w:color="C0C0C0" w:sz="1"/>
              <w:bottom w:val="single" w:color="C0C0C0" w:sz="1"/>
              <w:right w:val="single" w:color="C0C0C0" w:sz="1"/>
            </w:tcBorders>
            <w:shd w:fill="1F4E79" w:val="clear"/>
            <w:tcMar>
              <w:top w:type="dxa" w:w="80"/>
              <w:left w:type="dxa" w:w="120"/>
              <w:bottom w:type="dxa" w:w="80"/>
              <w:right w:type="dxa" w:w="120"/>
            </w:tcMar>
          </w:tcPr>
          <w:p>
            <w:r>
              <w:rPr>
                <w:rFonts w:ascii="Arial" w:cs="Arial" w:eastAsia="Arial" w:hAnsi="Arial"/>
                <w:b/>
                <w:bCs/>
                <w:color w:val="FFFFFF"/>
                <w:sz w:val="18"/>
                <w:szCs w:val="18"/>
              </w:rPr>
              <w:t xml:space="preserve">Timeline</w:t>
            </w:r>
          </w:p>
        </w:tc>
        <w:tc>
          <w:tcPr>
            <w:tcW w:type="dxa" w:w="2400"/>
            <w:tcBorders>
              <w:top w:val="single" w:color="C0C0C0" w:sz="1"/>
              <w:left w:val="single" w:color="C0C0C0" w:sz="1"/>
              <w:bottom w:val="single" w:color="C0C0C0" w:sz="1"/>
              <w:right w:val="single" w:color="C0C0C0" w:sz="1"/>
            </w:tcBorders>
            <w:shd w:fill="1F4E79" w:val="clear"/>
            <w:tcMar>
              <w:top w:type="dxa" w:w="80"/>
              <w:left w:type="dxa" w:w="120"/>
              <w:bottom w:type="dxa" w:w="80"/>
              <w:right w:type="dxa" w:w="120"/>
            </w:tcMar>
          </w:tcPr>
          <w:p>
            <w:r>
              <w:rPr>
                <w:rFonts w:ascii="Arial" w:cs="Arial" w:eastAsia="Arial" w:hAnsi="Arial"/>
                <w:b/>
                <w:bCs/>
                <w:color w:val="FFFFFF"/>
                <w:sz w:val="18"/>
                <w:szCs w:val="18"/>
              </w:rPr>
              <w:t xml:space="preserve">Focus</w:t>
            </w:r>
          </w:p>
        </w:tc>
        <w:tc>
          <w:tcPr>
            <w:tcW w:type="dxa" w:w="4660"/>
            <w:tcBorders>
              <w:top w:val="single" w:color="C0C0C0" w:sz="1"/>
              <w:left w:val="single" w:color="C0C0C0" w:sz="1"/>
              <w:bottom w:val="single" w:color="C0C0C0" w:sz="1"/>
              <w:right w:val="single" w:color="C0C0C0" w:sz="1"/>
            </w:tcBorders>
            <w:shd w:fill="1F4E79" w:val="clear"/>
            <w:tcMar>
              <w:top w:type="dxa" w:w="80"/>
              <w:left w:type="dxa" w:w="120"/>
              <w:bottom w:type="dxa" w:w="80"/>
              <w:right w:type="dxa" w:w="120"/>
            </w:tcMar>
          </w:tcPr>
          <w:p>
            <w:r>
              <w:rPr>
                <w:rFonts w:ascii="Arial" w:cs="Arial" w:eastAsia="Arial" w:hAnsi="Arial"/>
                <w:b/>
                <w:bCs/>
                <w:color w:val="FFFFFF"/>
                <w:sz w:val="18"/>
                <w:szCs w:val="18"/>
              </w:rPr>
              <w:t xml:space="preserve">Key Deliverables</w:t>
            </w:r>
          </w:p>
        </w:tc>
      </w:tr>
      <w:tr>
        <w:tc>
          <w:tcPr>
            <w:tcW w:type="dxa" w:w="9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bCs/>
                <w:color w:val="333333"/>
                <w:sz w:val="18"/>
                <w:szCs w:val="18"/>
              </w:rPr>
              <w:t xml:space="preserve">Phase 0</w:t>
            </w:r>
          </w:p>
        </w:tc>
        <w:tc>
          <w:tcPr>
            <w:tcW w:type="dxa" w:w="14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Weeks 1–3</w:t>
            </w:r>
          </w:p>
        </w:tc>
        <w:tc>
          <w:tcPr>
            <w:tcW w:type="dxa" w:w="24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Foundation &amp; Infrastructure</w:t>
            </w:r>
          </w:p>
        </w:tc>
        <w:tc>
          <w:tcPr>
            <w:tcW w:type="dxa" w:w="466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BigQuery connectivity, data validation, table schemas, CI/CD setup</w:t>
            </w:r>
          </w:p>
        </w:tc>
      </w:tr>
      <w:tr>
        <w:tc>
          <w:tcPr>
            <w:tcW w:type="dxa" w:w="9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bCs/>
                <w:color w:val="333333"/>
                <w:sz w:val="18"/>
                <w:szCs w:val="18"/>
              </w:rPr>
              <w:t xml:space="preserve">Phase 1</w:t>
            </w:r>
          </w:p>
        </w:tc>
        <w:tc>
          <w:tcPr>
            <w:tcW w:type="dxa" w:w="14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Weeks 4–8</w:t>
            </w:r>
          </w:p>
        </w:tc>
        <w:tc>
          <w:tcPr>
            <w:tcW w:type="dxa" w:w="24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Daily Risk Monitoring (M1)</w:t>
            </w:r>
          </w:p>
        </w:tc>
        <w:tc>
          <w:tcPr>
            <w:tcW w:type="dxa" w:w="466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Constraint monitor, alert engine, remediation logic, risk dashboard</w:t>
            </w:r>
          </w:p>
        </w:tc>
      </w:tr>
      <w:tr>
        <w:tc>
          <w:tcPr>
            <w:tcW w:type="dxa" w:w="9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bCs/>
                <w:color w:val="333333"/>
                <w:sz w:val="18"/>
                <w:szCs w:val="18"/>
              </w:rPr>
              <w:t xml:space="preserve">Phase 2</w:t>
            </w:r>
          </w:p>
        </w:tc>
        <w:tc>
          <w:tcPr>
            <w:tcW w:type="dxa" w:w="14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Weeks 9–12</w:t>
            </w:r>
          </w:p>
        </w:tc>
        <w:tc>
          <w:tcPr>
            <w:tcW w:type="dxa" w:w="24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Performance Attribution (M3)</w:t>
            </w:r>
          </w:p>
        </w:tc>
        <w:tc>
          <w:tcPr>
            <w:tcW w:type="dxa" w:w="466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Brinson + factor attribution, daily/weekly/MTD/YTD views</w:t>
            </w:r>
          </w:p>
        </w:tc>
      </w:tr>
      <w:tr>
        <w:tc>
          <w:tcPr>
            <w:tcW w:type="dxa" w:w="9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bCs/>
                <w:color w:val="333333"/>
                <w:sz w:val="18"/>
                <w:szCs w:val="18"/>
              </w:rPr>
              <w:t xml:space="preserve">Phase 3</w:t>
            </w:r>
          </w:p>
        </w:tc>
        <w:tc>
          <w:tcPr>
            <w:tcW w:type="dxa" w:w="14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Weeks 13–16</w:t>
            </w:r>
          </w:p>
        </w:tc>
        <w:tc>
          <w:tcPr>
            <w:tcW w:type="dxa" w:w="24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Intended vs. Unintended Bets (M2)</w:t>
            </w:r>
          </w:p>
        </w:tc>
        <w:tc>
          <w:tcPr>
            <w:tcW w:type="dxa" w:w="466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PM conviction capture, exposure alignment scorecard, drift monitor</w:t>
            </w:r>
          </w:p>
        </w:tc>
      </w:tr>
      <w:tr>
        <w:tc>
          <w:tcPr>
            <w:tcW w:type="dxa" w:w="9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bCs/>
                <w:color w:val="333333"/>
                <w:sz w:val="18"/>
                <w:szCs w:val="18"/>
              </w:rPr>
              <w:t xml:space="preserve">Phase 4</w:t>
            </w:r>
          </w:p>
        </w:tc>
        <w:tc>
          <w:tcPr>
            <w:tcW w:type="dxa" w:w="14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Weeks 17–20</w:t>
            </w:r>
          </w:p>
        </w:tc>
        <w:tc>
          <w:tcPr>
            <w:tcW w:type="dxa" w:w="24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Trading Analytics (M4)</w:t>
            </w:r>
          </w:p>
        </w:tc>
        <w:tc>
          <w:tcPr>
            <w:tcW w:type="dxa" w:w="466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Implementation shortfall, turnover, over-trading detector, cost tracker</w:t>
            </w:r>
          </w:p>
        </w:tc>
      </w:tr>
      <w:tr>
        <w:tc>
          <w:tcPr>
            <w:tcW w:type="dxa" w:w="9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bCs/>
                <w:color w:val="333333"/>
                <w:sz w:val="18"/>
                <w:szCs w:val="18"/>
              </w:rPr>
              <w:t xml:space="preserve">Phase 5</w:t>
            </w:r>
          </w:p>
        </w:tc>
        <w:tc>
          <w:tcPr>
            <w:tcW w:type="dxa" w:w="14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Weeks 21–24</w:t>
            </w:r>
          </w:p>
        </w:tc>
        <w:tc>
          <w:tcPr>
            <w:tcW w:type="dxa" w:w="24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Prediction Markets (M5)</w:t>
            </w:r>
          </w:p>
        </w:tc>
        <w:tc>
          <w:tcPr>
            <w:tcW w:type="dxa" w:w="466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Polymarket/Kalshi API integration, event risk dashboard</w:t>
            </w:r>
          </w:p>
        </w:tc>
      </w:tr>
      <w:tr>
        <w:tc>
          <w:tcPr>
            <w:tcW w:type="dxa" w:w="9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bCs/>
                <w:color w:val="333333"/>
                <w:sz w:val="18"/>
                <w:szCs w:val="18"/>
              </w:rPr>
              <w:t xml:space="preserve">Phase 6</w:t>
            </w:r>
          </w:p>
        </w:tc>
        <w:tc>
          <w:tcPr>
            <w:tcW w:type="dxa" w:w="14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From Week 20</w:t>
            </w:r>
          </w:p>
        </w:tc>
        <w:tc>
          <w:tcPr>
            <w:tcW w:type="dxa" w:w="24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Factor Research (M6)</w:t>
            </w:r>
          </w:p>
        </w:tc>
        <w:tc>
          <w:tcPr>
            <w:tcW w:type="dxa" w:w="466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Factor return library, regime classification, research interface</w:t>
            </w:r>
          </w:p>
        </w:tc>
      </w:tr>
      <w:tr>
        <w:tc>
          <w:tcPr>
            <w:tcW w:type="dxa" w:w="9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bCs/>
                <w:color w:val="333333"/>
                <w:sz w:val="18"/>
                <w:szCs w:val="18"/>
              </w:rPr>
              <w:t xml:space="preserve">Phase 7</w:t>
            </w:r>
          </w:p>
        </w:tc>
        <w:tc>
          <w:tcPr>
            <w:tcW w:type="dxa" w:w="14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Parallel with 4–5</w:t>
            </w:r>
          </w:p>
        </w:tc>
        <w:tc>
          <w:tcPr>
            <w:tcW w:type="dxa" w:w="240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Stress &amp; Unwind Risk (M7)</w:t>
            </w:r>
          </w:p>
        </w:tc>
        <w:tc>
          <w:tcPr>
            <w:tcW w:type="dxa" w:w="4660"/>
            <w:tcBorders>
              <w:top w:val="single" w:color="C0C0C0" w:sz="1"/>
              <w:left w:val="single" w:color="C0C0C0" w:sz="1"/>
              <w:bottom w:val="single" w:color="C0C0C0" w:sz="1"/>
              <w:right w:val="single" w:color="C0C0C0" w:sz="1"/>
            </w:tcBorders>
            <w:shd w:fill="F5F5F5" w:val="clear"/>
            <w:tcMar>
              <w:top w:type="dxa" w:w="80"/>
              <w:left w:type="dxa" w:w="120"/>
              <w:bottom w:type="dxa" w:w="80"/>
              <w:right w:type="dxa" w:w="120"/>
            </w:tcMar>
          </w:tcPr>
          <w:p>
            <w:r>
              <w:rPr>
                <w:rFonts w:ascii="Arial" w:cs="Arial" w:eastAsia="Arial" w:hAnsi="Arial"/>
                <w:b w:val="false"/>
                <w:bCs w:val="false"/>
                <w:color w:val="333333"/>
                <w:sz w:val="18"/>
                <w:szCs w:val="18"/>
              </w:rPr>
              <w:t xml:space="preserve">Historical event library, portfolio reconstruction, Unwind Risk Score</w:t>
            </w:r>
          </w:p>
        </w:tc>
      </w:tr>
      <w:tr>
        <w:tc>
          <w:tcPr>
            <w:tcW w:type="dxa" w:w="9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bCs/>
                <w:color w:val="333333"/>
                <w:sz w:val="18"/>
                <w:szCs w:val="18"/>
              </w:rPr>
              <w:t xml:space="preserve">Phase 8</w:t>
            </w:r>
          </w:p>
        </w:tc>
        <w:tc>
          <w:tcPr>
            <w:tcW w:type="dxa" w:w="14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Parallel with 0–1</w:t>
            </w:r>
          </w:p>
        </w:tc>
        <w:tc>
          <w:tcPr>
            <w:tcW w:type="dxa" w:w="240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Journal &amp; Research Repository (M8)</w:t>
            </w:r>
          </w:p>
        </w:tc>
        <w:tc>
          <w:tcPr>
            <w:tcW w:type="dxa" w:w="4660"/>
            <w:tcBorders>
              <w:top w:val="single" w:color="C0C0C0" w:sz="1"/>
              <w:left w:val="single" w:color="C0C0C0" w:sz="1"/>
              <w:bottom w:val="single" w:color="C0C0C0" w:sz="1"/>
              <w:right w:val="single" w:color="C0C0C0" w:sz="1"/>
            </w:tcBorders>
            <w:shd w:fill="FFFFFF" w:val="clear"/>
            <w:tcMar>
              <w:top w:type="dxa" w:w="80"/>
              <w:left w:type="dxa" w:w="120"/>
              <w:bottom w:type="dxa" w:w="80"/>
              <w:right w:type="dxa" w:w="120"/>
            </w:tcMar>
          </w:tcPr>
          <w:p>
            <w:r>
              <w:rPr>
                <w:rFonts w:ascii="Arial" w:cs="Arial" w:eastAsia="Arial" w:hAnsi="Arial"/>
                <w:b w:val="false"/>
                <w:bCs w:val="false"/>
                <w:color w:val="333333"/>
                <w:sz w:val="18"/>
                <w:szCs w:val="18"/>
              </w:rPr>
              <w:t xml:space="preserve">Journal MVP (live), Research Repository ingestion, Unified Search, AI Synthesis via Claude API</w:t>
            </w:r>
          </w:p>
        </w:tc>
      </w:tr>
    </w:tbl>
    <w:p>
      <w:pPr>
        <w:spacing w:before="100" w:after="100"/>
      </w:pPr>
      <w:r>
        <w:t xml:space="preserve"/>
      </w:r>
    </w:p>
    <w:p>
      <w:pPr>
        <w:pStyle w:val="Heading1"/>
        <w:pBdr>
          <w:bottom w:val="single" w:color="2E75B6" w:sz="8" w:space="4"/>
        </w:pBdr>
        <w:spacing w:before="320" w:after="160"/>
      </w:pPr>
      <w:r>
        <w:rPr>
          <w:rFonts w:ascii="Arial" w:cs="Arial" w:eastAsia="Arial" w:hAnsi="Arial"/>
          <w:b/>
          <w:bCs/>
          <w:color w:val="1F4E79"/>
          <w:sz w:val="32"/>
          <w:szCs w:val="32"/>
        </w:rPr>
        <w:t xml:space="preserve">6. Open Questions &amp; Decisions</w:t>
      </w:r>
    </w:p>
    <w:p>
      <w:pPr>
        <w:pStyle w:val="Heading2"/>
        <w:spacing w:before="240" w:after="120"/>
      </w:pPr>
      <w:r>
        <w:rPr>
          <w:rFonts w:ascii="Arial" w:cs="Arial" w:eastAsia="Arial" w:hAnsi="Arial"/>
          <w:b/>
          <w:bCs/>
          <w:color w:val="2E75B6"/>
          <w:sz w:val="26"/>
          <w:szCs w:val="26"/>
        </w:rPr>
        <w:t xml:space="preserve">Data &amp; Infrastructure</w:t>
      </w:r>
    </w:p>
    <w:p>
      <w:pPr>
        <w:pStyle w:val="ListParagraph"/>
        <w:numPr>
          <w:ilvl w:val="0"/>
          <w:numId w:val="2"/>
        </w:numPr>
        <w:spacing w:before="40" w:after="40"/>
      </w:pPr>
      <w:r>
        <w:rPr>
          <w:rFonts w:ascii="Arial" w:cs="Arial" w:eastAsia="Arial" w:hAnsi="Arial"/>
          <w:color w:val="333333"/>
          <w:sz w:val="20"/>
          <w:szCs w:val="20"/>
        </w:rPr>
        <w:t xml:space="preserve">What tables currently exist in BigQuery? What is the update frequency and who manages the pipeline?</w:t>
      </w:r>
    </w:p>
    <w:p>
      <w:pPr>
        <w:pStyle w:val="ListParagraph"/>
        <w:numPr>
          <w:ilvl w:val="0"/>
          <w:numId w:val="2"/>
        </w:numPr>
        <w:spacing w:before="40" w:after="40"/>
      </w:pPr>
      <w:r>
        <w:rPr>
          <w:rFonts w:ascii="Arial" w:cs="Arial" w:eastAsia="Arial" w:hAnsi="Arial"/>
          <w:color w:val="333333"/>
          <w:sz w:val="20"/>
          <w:szCs w:val="20"/>
        </w:rPr>
        <w:t xml:space="preserve">Are positions marked intraday or end-of-day only?</w:t>
      </w:r>
    </w:p>
    <w:p>
      <w:pPr>
        <w:pStyle w:val="ListParagraph"/>
        <w:numPr>
          <w:ilvl w:val="0"/>
          <w:numId w:val="2"/>
        </w:numPr>
        <w:spacing w:before="40" w:after="40"/>
      </w:pPr>
      <w:r>
        <w:rPr>
          <w:rFonts w:ascii="Arial" w:cs="Arial" w:eastAsia="Arial" w:hAnsi="Arial"/>
          <w:color w:val="333333"/>
          <w:sz w:val="20"/>
          <w:szCs w:val="20"/>
        </w:rPr>
        <w:t xml:space="preserve">What factor model is in use today (Barra, Axioma, custom, none)? Build vs. license decision needed.</w:t>
      </w:r>
    </w:p>
    <w:p>
      <w:pPr>
        <w:pStyle w:val="ListParagraph"/>
        <w:numPr>
          <w:ilvl w:val="0"/>
          <w:numId w:val="2"/>
        </w:numPr>
        <w:spacing w:before="40" w:after="40"/>
      </w:pPr>
      <w:r>
        <w:rPr>
          <w:rFonts w:ascii="Arial" w:cs="Arial" w:eastAsia="Arial" w:hAnsi="Arial"/>
          <w:color w:val="333333"/>
          <w:sz w:val="20"/>
          <w:szCs w:val="20"/>
        </w:rPr>
        <w:t xml:space="preserve">How are trades recorded — OMS feed, prime broker, manual entry?</w:t>
      </w:r>
    </w:p>
    <w:p>
      <w:pPr>
        <w:spacing w:before="100" w:after="100"/>
      </w:pPr>
      <w:r>
        <w:t xml:space="preserve"/>
      </w:r>
    </w:p>
    <w:p>
      <w:pPr>
        <w:pStyle w:val="Heading2"/>
        <w:spacing w:before="240" w:after="120"/>
      </w:pPr>
      <w:r>
        <w:rPr>
          <w:rFonts w:ascii="Arial" w:cs="Arial" w:eastAsia="Arial" w:hAnsi="Arial"/>
          <w:b/>
          <w:bCs/>
          <w:color w:val="2E75B6"/>
          <w:sz w:val="26"/>
          <w:szCs w:val="26"/>
        </w:rPr>
        <w:t xml:space="preserve">Risk Constraints</w:t>
      </w:r>
    </w:p>
    <w:p>
      <w:pPr>
        <w:pStyle w:val="ListParagraph"/>
        <w:numPr>
          <w:ilvl w:val="0"/>
          <w:numId w:val="2"/>
        </w:numPr>
        <w:spacing w:before="40" w:after="40"/>
      </w:pPr>
      <w:r>
        <w:rPr>
          <w:rFonts w:ascii="Arial" w:cs="Arial" w:eastAsia="Arial" w:hAnsi="Arial"/>
          <w:color w:val="333333"/>
          <w:sz w:val="20"/>
          <w:szCs w:val="20"/>
        </w:rPr>
        <w:t xml:space="preserve">What are the specific hard limits? Need the full constraint schedule with numeric thresholds.</w:t>
      </w:r>
    </w:p>
    <w:p>
      <w:pPr>
        <w:pStyle w:val="ListParagraph"/>
        <w:numPr>
          <w:ilvl w:val="0"/>
          <w:numId w:val="2"/>
        </w:numPr>
        <w:spacing w:before="40" w:after="40"/>
      </w:pPr>
      <w:r>
        <w:rPr>
          <w:rFonts w:ascii="Arial" w:cs="Arial" w:eastAsia="Arial" w:hAnsi="Arial"/>
          <w:color w:val="333333"/>
          <w:sz w:val="20"/>
          <w:szCs w:val="20"/>
        </w:rPr>
        <w:t xml:space="preserve">What are the soft/watch limits that trigger alerts but are not hard breaches?</w:t>
      </w:r>
    </w:p>
    <w:p>
      <w:pPr>
        <w:pStyle w:val="ListParagraph"/>
        <w:numPr>
          <w:ilvl w:val="0"/>
          <w:numId w:val="2"/>
        </w:numPr>
        <w:spacing w:before="40" w:after="40"/>
      </w:pPr>
      <w:r>
        <w:rPr>
          <w:rFonts w:ascii="Arial" w:cs="Arial" w:eastAsia="Arial" w:hAnsi="Arial"/>
          <w:color w:val="333333"/>
          <w:sz w:val="20"/>
          <w:szCs w:val="20"/>
        </w:rPr>
        <w:t xml:space="preserve">Who receives alerts — PM only, risk team, operations?</w:t>
      </w:r>
    </w:p>
    <w:p>
      <w:pPr>
        <w:pStyle w:val="ListParagraph"/>
        <w:numPr>
          <w:ilvl w:val="0"/>
          <w:numId w:val="2"/>
        </w:numPr>
        <w:spacing w:before="40" w:after="40"/>
      </w:pPr>
      <w:r>
        <w:rPr>
          <w:rFonts w:ascii="Arial" w:cs="Arial" w:eastAsia="Arial" w:hAnsi="Arial"/>
          <w:color w:val="333333"/>
          <w:sz w:val="20"/>
          <w:szCs w:val="20"/>
        </w:rPr>
        <w:t xml:space="preserve">What is the required review cadence — intraday, end-of-day, or both?</w:t>
      </w:r>
    </w:p>
    <w:p>
      <w:pPr>
        <w:spacing w:before="100" w:after="100"/>
      </w:pPr>
      <w:r>
        <w:t xml:space="preserve"/>
      </w:r>
    </w:p>
    <w:p>
      <w:pPr>
        <w:pStyle w:val="Heading2"/>
        <w:spacing w:before="240" w:after="120"/>
      </w:pPr>
      <w:r>
        <w:rPr>
          <w:rFonts w:ascii="Arial" w:cs="Arial" w:eastAsia="Arial" w:hAnsi="Arial"/>
          <w:b/>
          <w:bCs/>
          <w:color w:val="2E75B6"/>
          <w:sz w:val="26"/>
          <w:szCs w:val="26"/>
        </w:rPr>
        <w:t xml:space="preserve">Portfolio Views (Module 2)</w:t>
      </w:r>
    </w:p>
    <w:p>
      <w:pPr>
        <w:pStyle w:val="ListParagraph"/>
        <w:numPr>
          <w:ilvl w:val="0"/>
          <w:numId w:val="2"/>
        </w:numPr>
        <w:spacing w:before="40" w:after="40"/>
      </w:pPr>
      <w:r>
        <w:rPr>
          <w:rFonts w:ascii="Arial" w:cs="Arial" w:eastAsia="Arial" w:hAnsi="Arial"/>
          <w:color w:val="333333"/>
          <w:sz w:val="20"/>
          <w:szCs w:val="20"/>
        </w:rPr>
        <w:t xml:space="preserve">How are investment views currently documented? Is there a formal view register?</w:t>
      </w:r>
    </w:p>
    <w:p>
      <w:pPr>
        <w:pStyle w:val="ListParagraph"/>
        <w:numPr>
          <w:ilvl w:val="0"/>
          <w:numId w:val="2"/>
        </w:numPr>
        <w:spacing w:before="40" w:after="40"/>
      </w:pPr>
      <w:r>
        <w:rPr>
          <w:rFonts w:ascii="Arial" w:cs="Arial" w:eastAsia="Arial" w:hAnsi="Arial"/>
          <w:color w:val="333333"/>
          <w:sz w:val="20"/>
          <w:szCs w:val="20"/>
        </w:rPr>
        <w:t xml:space="preserve">What is the right granularity for views: name-level, sector, factor, theme?</w:t>
      </w:r>
    </w:p>
    <w:p>
      <w:pPr>
        <w:pStyle w:val="ListParagraph"/>
        <w:numPr>
          <w:ilvl w:val="0"/>
          <w:numId w:val="2"/>
        </w:numPr>
        <w:spacing w:before="40" w:after="40"/>
      </w:pPr>
      <w:r>
        <w:rPr>
          <w:rFonts w:ascii="Arial" w:cs="Arial" w:eastAsia="Arial" w:hAnsi="Arial"/>
          <w:color w:val="333333"/>
          <w:sz w:val="20"/>
          <w:szCs w:val="20"/>
        </w:rPr>
        <w:t xml:space="preserve">How frequently are views formally reviewed and updated?</w:t>
      </w:r>
    </w:p>
    <w:p>
      <w:pPr>
        <w:spacing w:before="100" w:after="100"/>
      </w:pPr>
      <w:r>
        <w:t xml:space="preserve"/>
      </w:r>
    </w:p>
    <w:p>
      <w:pPr>
        <w:pStyle w:val="Heading2"/>
        <w:spacing w:before="240" w:after="120"/>
      </w:pPr>
      <w:r>
        <w:rPr>
          <w:rFonts w:ascii="Arial" w:cs="Arial" w:eastAsia="Arial" w:hAnsi="Arial"/>
          <w:b/>
          <w:bCs/>
          <w:color w:val="2E75B6"/>
          <w:sz w:val="26"/>
          <w:szCs w:val="26"/>
        </w:rPr>
        <w:t xml:space="preserve">Platform &amp; Deployment</w:t>
      </w:r>
    </w:p>
    <w:p>
      <w:pPr>
        <w:pStyle w:val="ListParagraph"/>
        <w:numPr>
          <w:ilvl w:val="0"/>
          <w:numId w:val="2"/>
        </w:numPr>
        <w:spacing w:before="40" w:after="40"/>
      </w:pPr>
      <w:r>
        <w:rPr>
          <w:rFonts w:ascii="Arial" w:cs="Arial" w:eastAsia="Arial" w:hAnsi="Arial"/>
          <w:color w:val="333333"/>
          <w:sz w:val="20"/>
          <w:szCs w:val="20"/>
        </w:rPr>
        <w:t xml:space="preserve">Access model preference: web app, desktop application, notebook, Slack/email alerts, or combination?</w:t>
      </w:r>
    </w:p>
    <w:p>
      <w:pPr>
        <w:pStyle w:val="ListParagraph"/>
        <w:numPr>
          <w:ilvl w:val="0"/>
          <w:numId w:val="2"/>
        </w:numPr>
        <w:spacing w:before="40" w:after="40"/>
      </w:pPr>
      <w:r>
        <w:rPr>
          <w:rFonts w:ascii="Arial" w:cs="Arial" w:eastAsia="Arial" w:hAnsi="Arial"/>
          <w:color w:val="333333"/>
          <w:sz w:val="20"/>
          <w:szCs w:val="20"/>
        </w:rPr>
        <w:t xml:space="preserve">Technology stack preferences (Python/FastAPI backend, React frontend, etc.)?</w:t>
      </w:r>
    </w:p>
    <w:p>
      <w:pPr>
        <w:pStyle w:val="ListParagraph"/>
        <w:numPr>
          <w:ilvl w:val="0"/>
          <w:numId w:val="2"/>
        </w:numPr>
        <w:spacing w:before="40" w:after="40"/>
      </w:pPr>
      <w:r>
        <w:rPr>
          <w:rFonts w:ascii="Arial" w:cs="Arial" w:eastAsia="Arial" w:hAnsi="Arial"/>
          <w:color w:val="333333"/>
          <w:sz w:val="20"/>
          <w:szCs w:val="20"/>
        </w:rPr>
        <w:t xml:space="preserve">Multi-user access required with role differentiation (PM, analyst, risk, ops)?</w:t>
      </w:r>
    </w:p>
    <w:p>
      <w:pPr>
        <w:pStyle w:val="ListParagraph"/>
        <w:numPr>
          <w:ilvl w:val="0"/>
          <w:numId w:val="2"/>
        </w:numPr>
        <w:spacing w:before="40" w:after="40"/>
      </w:pPr>
      <w:r>
        <w:rPr>
          <w:rFonts w:ascii="Arial" w:cs="Arial" w:eastAsia="Arial" w:hAnsi="Arial"/>
          <w:color w:val="333333"/>
          <w:sz w:val="20"/>
          <w:szCs w:val="20"/>
        </w:rPr>
        <w:t xml:space="preserve">Any compliance or data security constraints that affect architecture?</w:t>
      </w:r>
    </w:p>
    <w:p>
      <w:pPr>
        <w:spacing w:before="100" w:after="100"/>
      </w:pPr>
      <w:r>
        <w:t xml:space="preserve"/>
      </w:r>
    </w:p>
    <w:p>
      <w:pPr>
        <w:pStyle w:val="Heading1"/>
        <w:pBdr>
          <w:bottom w:val="single" w:color="2E75B6" w:sz="8" w:space="4"/>
        </w:pBdr>
        <w:spacing w:before="320" w:after="160"/>
      </w:pPr>
      <w:r>
        <w:rPr>
          <w:rFonts w:ascii="Arial" w:cs="Arial" w:eastAsia="Arial" w:hAnsi="Arial"/>
          <w:b/>
          <w:bCs/>
          <w:color w:val="1F4E79"/>
          <w:sz w:val="32"/>
          <w:szCs w:val="32"/>
        </w:rPr>
        <w:t xml:space="preserve">7. Immediate Next Steps</w:t>
      </w:r>
    </w:p>
    <w:p>
      <w:pPr>
        <w:pStyle w:val="ListParagraph"/>
        <w:numPr>
          <w:ilvl w:val="0"/>
          <w:numId w:val="2"/>
        </w:numPr>
        <w:spacing w:before="40" w:after="40"/>
      </w:pPr>
      <w:r>
        <w:rPr>
          <w:rFonts w:ascii="Arial" w:cs="Arial" w:eastAsia="Arial" w:hAnsi="Arial"/>
          <w:b/>
          <w:bCs/>
          <w:color w:val="1A1A2E"/>
          <w:sz w:val="20"/>
          <w:szCs w:val="20"/>
        </w:rPr>
        <w:t xml:space="preserve">Review this outline</w:t>
      </w:r>
      <w:r>
        <w:rPr>
          <w:rFonts w:ascii="Arial" w:cs="Arial" w:eastAsia="Arial" w:hAnsi="Arial"/>
          <w:color w:val="333333"/>
          <w:sz w:val="20"/>
          <w:szCs w:val="20"/>
        </w:rPr>
        <w:t xml:space="preserve">: Mark priorities, add missing constraints, correct assumptions</w:t>
      </w:r>
    </w:p>
    <w:p>
      <w:pPr>
        <w:pStyle w:val="ListParagraph"/>
        <w:numPr>
          <w:ilvl w:val="0"/>
          <w:numId w:val="2"/>
        </w:numPr>
        <w:spacing w:before="40" w:after="40"/>
      </w:pPr>
      <w:r>
        <w:rPr>
          <w:rFonts w:ascii="Arial" w:cs="Arial" w:eastAsia="Arial" w:hAnsi="Arial"/>
          <w:b/>
          <w:bCs/>
          <w:color w:val="1A1A2E"/>
          <w:sz w:val="20"/>
          <w:szCs w:val="20"/>
        </w:rPr>
        <w:t xml:space="preserve">Audit existing BigQuery environment</w:t>
      </w:r>
      <w:r>
        <w:rPr>
          <w:rFonts w:ascii="Arial" w:cs="Arial" w:eastAsia="Arial" w:hAnsi="Arial"/>
          <w:color w:val="333333"/>
          <w:sz w:val="20"/>
          <w:szCs w:val="20"/>
        </w:rPr>
        <w:t xml:space="preserve">: Document current tables, schemas, update frequency, data quality</w:t>
      </w:r>
    </w:p>
    <w:p>
      <w:pPr>
        <w:pStyle w:val="ListParagraph"/>
        <w:numPr>
          <w:ilvl w:val="0"/>
          <w:numId w:val="2"/>
        </w:numPr>
        <w:spacing w:before="40" w:after="40"/>
      </w:pPr>
      <w:r>
        <w:rPr>
          <w:rFonts w:ascii="Arial" w:cs="Arial" w:eastAsia="Arial" w:hAnsi="Arial"/>
          <w:b/>
          <w:bCs/>
          <w:color w:val="1A1A2E"/>
          <w:sz w:val="20"/>
          <w:szCs w:val="20"/>
        </w:rPr>
        <w:t xml:space="preserve">Define complete constraint schedule</w:t>
      </w:r>
      <w:r>
        <w:rPr>
          <w:rFonts w:ascii="Arial" w:cs="Arial" w:eastAsia="Arial" w:hAnsi="Arial"/>
          <w:color w:val="333333"/>
          <w:sz w:val="20"/>
          <w:szCs w:val="20"/>
        </w:rPr>
        <w:t xml:space="preserve">: Hard and soft limits with specific numeric thresholds</w:t>
      </w:r>
    </w:p>
    <w:p>
      <w:pPr>
        <w:pStyle w:val="ListParagraph"/>
        <w:numPr>
          <w:ilvl w:val="0"/>
          <w:numId w:val="2"/>
        </w:numPr>
        <w:spacing w:before="40" w:after="40"/>
      </w:pPr>
      <w:r>
        <w:rPr>
          <w:rFonts w:ascii="Arial" w:cs="Arial" w:eastAsia="Arial" w:hAnsi="Arial"/>
          <w:b/>
          <w:bCs/>
          <w:color w:val="1A1A2E"/>
          <w:sz w:val="20"/>
          <w:szCs w:val="20"/>
        </w:rPr>
        <w:t xml:space="preserve">Decide on factor model approach</w:t>
      </w:r>
      <w:r>
        <w:rPr>
          <w:rFonts w:ascii="Arial" w:cs="Arial" w:eastAsia="Arial" w:hAnsi="Arial"/>
          <w:color w:val="333333"/>
          <w:sz w:val="20"/>
          <w:szCs w:val="20"/>
        </w:rPr>
        <w:t xml:space="preserve">: Licensed data (Barra/MSCI) vs. custom in-house build</w:t>
      </w:r>
    </w:p>
    <w:p>
      <w:pPr>
        <w:pStyle w:val="ListParagraph"/>
        <w:numPr>
          <w:ilvl w:val="0"/>
          <w:numId w:val="2"/>
        </w:numPr>
        <w:spacing w:before="40" w:after="40"/>
      </w:pPr>
      <w:r>
        <w:rPr>
          <w:rFonts w:ascii="Arial" w:cs="Arial" w:eastAsia="Arial" w:hAnsi="Arial"/>
          <w:b/>
          <w:bCs/>
          <w:color w:val="1A1A2E"/>
          <w:sz w:val="20"/>
          <w:szCs w:val="20"/>
        </w:rPr>
        <w:t xml:space="preserve">Set up project repository and infrastructure</w:t>
      </w:r>
      <w:r>
        <w:rPr>
          <w:rFonts w:ascii="Arial" w:cs="Arial" w:eastAsia="Arial" w:hAnsi="Arial"/>
          <w:color w:val="333333"/>
          <w:sz w:val="20"/>
          <w:szCs w:val="20"/>
        </w:rPr>
        <w:t xml:space="preserve">: Version control, CI/CD, environment setup</w:t>
      </w:r>
    </w:p>
    <w:p>
      <w:pPr>
        <w:pStyle w:val="ListParagraph"/>
        <w:numPr>
          <w:ilvl w:val="0"/>
          <w:numId w:val="2"/>
        </w:numPr>
        <w:spacing w:before="40" w:after="40"/>
      </w:pPr>
      <w:r>
        <w:rPr>
          <w:rFonts w:ascii="Arial" w:cs="Arial" w:eastAsia="Arial" w:hAnsi="Arial"/>
          <w:b/>
          <w:bCs/>
          <w:color w:val="1A1A2E"/>
          <w:sz w:val="20"/>
          <w:szCs w:val="20"/>
        </w:rPr>
        <w:t xml:space="preserve">Build journal MVP immediately</w:t>
      </w:r>
      <w:r>
        <w:rPr>
          <w:rFonts w:ascii="Arial" w:cs="Arial" w:eastAsia="Arial" w:hAnsi="Arial"/>
          <w:color w:val="333333"/>
          <w:sz w:val="20"/>
          <w:szCs w:val="20"/>
        </w:rPr>
        <w:t xml:space="preserve">: ✓ Complete — Flask + SQLite running locally at ~/egc/egc_journal</w:t>
      </w:r>
    </w:p>
    <w:p>
      <w:pPr>
        <w:pStyle w:val="ListParagraph"/>
        <w:numPr>
          <w:ilvl w:val="0"/>
          <w:numId w:val="2"/>
        </w:numPr>
        <w:spacing w:before="40" w:after="40"/>
      </w:pPr>
      <w:r>
        <w:rPr>
          <w:rFonts w:ascii="Arial" w:cs="Arial" w:eastAsia="Arial" w:hAnsi="Arial"/>
          <w:b/>
          <w:bCs/>
          <w:color w:val="1A1A2E"/>
          <w:sz w:val="20"/>
          <w:szCs w:val="20"/>
        </w:rPr>
        <w:t xml:space="preserve">Build Research Repository extension</w:t>
      </w:r>
      <w:r>
        <w:rPr>
          <w:rFonts w:ascii="Arial" w:cs="Arial" w:eastAsia="Arial" w:hAnsi="Arial"/>
          <w:color w:val="333333"/>
          <w:sz w:val="20"/>
          <w:szCs w:val="20"/>
        </w:rPr>
        <w:t xml:space="preserve">: Add document ingestion (PDF, URL, paste, .docx), unified search, AI synthesis via Claude API — in progress via Claude Code</w:t>
      </w:r>
    </w:p>
    <w:p>
      <w:pPr>
        <w:pStyle w:val="ListParagraph"/>
        <w:numPr>
          <w:ilvl w:val="0"/>
          <w:numId w:val="2"/>
        </w:numPr>
        <w:spacing w:before="40" w:after="40"/>
      </w:pPr>
      <w:r>
        <w:rPr>
          <w:rFonts w:ascii="Arial" w:cs="Arial" w:eastAsia="Arial" w:hAnsi="Arial"/>
          <w:b/>
          <w:bCs/>
          <w:color w:val="1A1A2E"/>
          <w:sz w:val="20"/>
          <w:szCs w:val="20"/>
        </w:rPr>
        <w:t xml:space="preserve">Schedule Phase 0 kickoff working session</w:t>
      </w:r>
      <w:r>
        <w:rPr>
          <w:rFonts w:ascii="Arial" w:cs="Arial" w:eastAsia="Arial" w:hAnsi="Arial"/>
          <w:color w:val="333333"/>
          <w:sz w:val="20"/>
          <w:szCs w:val="20"/>
        </w:rPr>
        <w:t xml:space="preserve">: Align on priorities and confirm team</w:t>
      </w:r>
    </w:p>
    <w:p>
      <w:pPr>
        <w:pStyle w:val="ListParagraph"/>
        <w:numPr>
          <w:ilvl w:val="0"/>
          <w:numId w:val="2"/>
        </w:numPr>
        <w:spacing w:before="40" w:after="40"/>
      </w:pPr>
      <w:r>
        <w:rPr>
          <w:rFonts w:ascii="Arial" w:cs="Arial" w:eastAsia="Arial" w:hAnsi="Arial"/>
          <w:b/>
          <w:bCs/>
          <w:color w:val="1A1A2E"/>
          <w:sz w:val="20"/>
          <w:szCs w:val="20"/>
        </w:rPr>
        <w:t xml:space="preserve">Compile seed list of historical stress events</w:t>
      </w:r>
      <w:r>
        <w:rPr>
          <w:rFonts w:ascii="Arial" w:cs="Arial" w:eastAsia="Arial" w:hAnsi="Arial"/>
          <w:color w:val="333333"/>
          <w:sz w:val="20"/>
          <w:szCs w:val="20"/>
        </w:rPr>
        <w:t xml:space="preserve">: Agree on canonical event catalogue and confirm BigQuery positions history coverage</w:t>
      </w:r>
    </w:p>
    <w:p>
      <w:pPr>
        <w:pStyle w:val="ListParagraph"/>
        <w:numPr>
          <w:ilvl w:val="0"/>
          <w:numId w:val="2"/>
        </w:numPr>
        <w:spacing w:before="40" w:after="40"/>
      </w:pPr>
      <w:r>
        <w:rPr>
          <w:rFonts w:ascii="Arial" w:cs="Arial" w:eastAsia="Arial" w:hAnsi="Arial"/>
          <w:b/>
          <w:bCs/>
          <w:color w:val="1A1A2E"/>
          <w:sz w:val="20"/>
          <w:szCs w:val="20"/>
        </w:rPr>
        <w:t xml:space="preserve">Inventory sell-side research corpus</w:t>
      </w:r>
      <w:r>
        <w:rPr>
          <w:rFonts w:ascii="Arial" w:cs="Arial" w:eastAsia="Arial" w:hAnsi="Arial"/>
          <w:color w:val="333333"/>
          <w:sz w:val="20"/>
          <w:szCs w:val="20"/>
        </w:rPr>
        <w:t xml:space="preserve">: Assess what commentary exists in BigQuery, tagging requirements, and identify gaps to backfill</w:t>
      </w:r>
    </w:p>
    <w:p>
      <w:pPr>
        <w:spacing w:before="100" w:after="100"/>
      </w:pPr>
      <w:r>
        <w:t xml:space="preserve"/>
      </w:r>
    </w:p>
    <w:p>
      <w:pPr>
        <w:spacing w:before="100" w:after="100"/>
      </w:pPr>
      <w:r>
        <w:t xml:space="preserve"/>
      </w:r>
    </w:p>
    <w:p>
      <w:pPr>
        <w:spacing w:before="200"/>
        <w:jc w:val="center"/>
      </w:pPr>
      <w:r>
        <w:rPr>
          <w:rFonts w:ascii="Arial" w:cs="Arial" w:eastAsia="Arial" w:hAnsi="Arial"/>
          <w:i/>
          <w:iCs/>
          <w:color w:val="888888"/>
          <w:sz w:val="18"/>
          <w:szCs w:val="18"/>
        </w:rPr>
        <w:t xml:space="preserve">— Draft for internal review · subject to revision —</w:t>
      </w:r>
    </w:p>
    <w:sectPr>
      <w:headerReference w:type="default" r:id="rId6"/>
      <w:footerReference w:type="default" r:id="rId7"/>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E75B6" w:sz="6" w:space="2"/>
      </w:pBdr>
      <w:tabs>
        <w:tab w:val="right" w:pos="9026"/>
      </w:tabs>
      <w:spacing w:before="100"/>
    </w:pPr>
    <w:r>
      <w:rPr>
        <w:rFonts w:ascii="Arial" w:cs="Arial" w:eastAsia="Arial" w:hAnsi="Arial"/>
        <w:color w:val="888888"/>
        <w:sz w:val="16"/>
        <w:szCs w:val="16"/>
      </w:rPr>
      <w:t xml:space="preserve">Version 0.5  ·  Confidential</w:t>
    </w:r>
    <w:r>
      <w:rPr>
        <w:rFonts w:ascii="Arial" w:cs="Arial" w:eastAsia="Arial" w:hAnsi="Arial"/>
        <w:color w:val="888888"/>
        <w:sz w:val="16"/>
        <w:szCs w:val="16"/>
      </w:rPr>
      <w:t xml:space="preserve">	Page </w:t>
    </w:r>
    <w:r>
      <w:rPr>
        <w:rFonts w:ascii="Arial" w:cs="Arial" w:eastAsia="Arial" w:hAnsi="Arial"/>
        <w:color w:val="888888"/>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5B6" w:sz="6" w:space="2"/>
      </w:pBdr>
      <w:spacing w:after="100"/>
    </w:pPr>
    <w:r>
      <w:rPr>
        <w:rFonts w:ascii="Arial" w:cs="Arial" w:eastAsia="Arial" w:hAnsi="Arial"/>
        <w:color w:val="666666"/>
        <w:sz w:val="18"/>
        <w:szCs w:val="18"/>
      </w:rPr>
      <w:t xml:space="preserve">Portfolio Risk Management Platform  ·  </w:t>
    </w:r>
    <w:r>
      <w:rPr>
        <w:rFonts w:ascii="Arial" w:cs="Arial" w:eastAsia="Arial" w:hAnsi="Arial"/>
        <w:b/>
        <w:bCs/>
        <w:color w:val="2E75B6"/>
        <w:sz w:val="18"/>
        <w:szCs w:val="18"/>
      </w:rPr>
      <w:t xml:space="preserve">L/S Equity Fund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360"/>
      </w:pPr>
    </w:lvl>
    <w:lvl w:ilvl="1" w15:tentative="1">
      <w:start w:val="1"/>
      <w:numFmt w:val="bullet"/>
      <w:lvlText w:val="◦"/>
      <w:lvlJc w:val="left"/>
      <w:pPr>
        <w:ind w:left="90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20" w:after="160"/>
      <w:outlineLvl w:val="0"/>
    </w:pPr>
    <w:rPr>
      <w:rFonts w:ascii="Arial" w:cs="Arial" w:eastAsia="Arial" w:hAnsi="Arial"/>
      <w:b/>
      <w:bCs/>
      <w:color w:val="1F4E79"/>
      <w:sz w:val="32"/>
      <w:szCs w:val="32"/>
    </w:rPr>
  </w:style>
  <w:style w:type="paragraph" w:styleId="Heading2">
    <w:name w:val="Heading 2"/>
    <w:basedOn w:val="Normal"/>
    <w:next w:val="Normal"/>
    <w:qFormat/>
    <w:pPr>
      <w:spacing w:before="240" w:after="120"/>
      <w:outlineLvl w:val="1"/>
    </w:pPr>
    <w:rPr>
      <w:rFonts w:ascii="Arial" w:cs="Arial" w:eastAsia="Arial" w:hAnsi="Arial"/>
      <w:b/>
      <w:bCs/>
      <w:color w:val="2E75B6"/>
      <w:sz w:val="26"/>
      <w:szCs w:val="26"/>
    </w:rPr>
  </w:style>
  <w:style w:type="paragraph" w:styleId="Heading3">
    <w:name w:val="Heading 3"/>
    <w:basedOn w:val="Normal"/>
    <w:next w:val="Normal"/>
    <w:qFormat/>
    <w:pPr>
      <w:spacing w:before="200" w:after="100"/>
      <w:outlineLvl w:val="2"/>
    </w:pPr>
    <w:rPr>
      <w:rFonts w:ascii="Arial" w:cs="Arial" w:eastAsia="Arial" w:hAnsi="Arial"/>
      <w:b/>
      <w:bCs/>
      <w:color w:val="1A1A2E"/>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2026-03-12T14:06:38.337Z</dcterms:created>
  <dcterms:modified xsi:type="dcterms:W3CDTF">2026-03-12T14:06:38.338Z</dcterms:modified>
</cp:coreProperties>
</file>

<file path=docProps/custom.xml><?xml version="1.0" encoding="utf-8"?>
<Properties xmlns="http://schemas.openxmlformats.org/officeDocument/2006/custom-properties" xmlns:vt="http://schemas.openxmlformats.org/officeDocument/2006/docPropsVTypes"/>
</file>